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</w:pPr>
      <w:r>
        <w:rPr>
          <w:rFonts w:ascii="Calibri" w:cs="Calibri" w:eastAsia="Calibri" w:hAnsi="Calibri"/>
          <w:b/>
          <w:bCs/>
          <w:color w:val="B08D57"/>
          <w:spacing w:val="30"/>
          <w:sz w:val="22"/>
          <w:szCs w:val="22"/>
        </w:rPr>
        <w:t xml:space="preserve">PLAN DE GESTIÓN DIGITAL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C1F26"/>
          <w:sz w:val="72"/>
          <w:szCs w:val="72"/>
        </w:rPr>
        <w:t xml:space="preserve">Hosty56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6B6B66"/>
          <w:sz w:val="24"/>
          <w:szCs w:val="24"/>
        </w:rPr>
        <w:t xml:space="preserve">Generación y filtro de interesados vía Meta Ads · Bogotá, Colombia · 2026</w:t>
      </w:r>
    </w:p>
    <w:p>
      <w:pPr>
        <w:spacing w:after="60"/>
      </w:pPr>
      <w:r>
        <w:rPr>
          <w:rFonts w:ascii="Calibri" w:cs="Calibri" w:eastAsia="Calibri" w:hAnsi="Calibri"/>
          <w:color w:val="6B6B66"/>
          <w:sz w:val="20"/>
          <w:szCs w:val="20"/>
        </w:rPr>
        <w:t xml:space="preserve">Documento confidencial — uso exclusivo de los propietarios de Hosty56 y su equipo de gestión.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1. Resumen y alcance de esta gestión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Hosty56 es un edificio de 4 plantas y 10 apartamentos en Bogotá, en operación activa como renta corta (Airbnb), con una facturación bruta actual de $40.000.000 mensuales (~$480.000.000 al año). El edificio no está constituido en propiedad horizontal, por lo que la venta debe hacerse del edificio completo, o de la sociedad que lo posee, a un único comprador. El valor de venta es de $4.000.000.000.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documento define exclusivamente mi gestión como encargado de la pauta digital (trafficker): generar, calificar y filtrar interesados reales a través de Meta Ads, y entregar a los propietarios únicamente los contactos con capacidad e interés genuino.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partir de la entrega de un interesado calificado, los propietarios gestionan directamente el NDA, el dossier confidencial, las llamadas de verificación, las visitas, la negociación y el cierre de la venta. Ese proceso no hace parte de esta gestión.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2. Qué hago yo vs. qué gestionan los propietarios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 gestión (Meta Ads)</w:t>
            </w:r>
          </w:p>
        </w:tc>
        <w:tc>
          <w:tcPr>
            <w:tcW w:type="dxa" w:w="46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Gestión de los propietarios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Difusión discreta del teaser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NDA y entrega del dossier confidencial</w:t>
            </w:r>
          </w:p>
        </w:tc>
      </w:tr>
      <w:tr>
        <w:tc>
          <w:tcPr>
            <w:tcW w:type="dxa" w:w="46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Landing y formulario de calificación</w:t>
            </w:r>
          </w:p>
        </w:tc>
        <w:tc>
          <w:tcPr>
            <w:tcW w:type="dxa" w:w="46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Llamadas de verificación y visitas presenciales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Filtro automático de curiosos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Negociación y estructura de la oferta</w:t>
            </w:r>
          </w:p>
        </w:tc>
      </w:tr>
      <w:tr>
        <w:tc>
          <w:tcPr>
            <w:tcW w:type="dxa" w:w="46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Entrega de interesados calificados</w:t>
            </w:r>
          </w:p>
        </w:tc>
        <w:tc>
          <w:tcPr>
            <w:tcW w:type="dxa" w:w="46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Cierre de la venta y aspectos legales de la sociedad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 separación es intencional: mi responsabilidad termina en la entrega de un contacto calificado. Todo lo que ocurre después (verificación adicional, visitas, negociación, cierre) queda enteramente en manos de los propietarios.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3. El activo (base de la comunicación de campaña)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0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 / alias del proyecto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Hosty56</w:t>
            </w:r>
          </w:p>
        </w:tc>
      </w:tr>
      <w:tr>
        <w:tc>
          <w:tcPr>
            <w:tcW w:type="dxa" w:w="32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0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Bogotá, Colombia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Tipo de activo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Edificio de 4 plantas, 10 apartamentos</w:t>
            </w:r>
          </w:p>
        </w:tc>
      </w:tr>
      <w:tr>
        <w:tc>
          <w:tcPr>
            <w:tcW w:type="dxa" w:w="32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Operación actual</w:t>
            </w:r>
          </w:p>
        </w:tc>
        <w:tc>
          <w:tcPr>
            <w:tcW w:type="dxa" w:w="60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Renta corta (Airbnb) en funcionamiento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Facturación bruta mensual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$40.000.000 (cifra bruta, antes de gastos operativos, hipoteca e impuestos)</w:t>
            </w:r>
          </w:p>
        </w:tc>
      </w:tr>
      <w:tr>
        <w:tc>
          <w:tcPr>
            <w:tcW w:type="dxa" w:w="32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Facturación bruta anual (aprox.)</w:t>
            </w:r>
          </w:p>
        </w:tc>
        <w:tc>
          <w:tcPr>
            <w:tcW w:type="dxa" w:w="60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$480.000.000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Yield bruto anual sobre valor de venta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≈ 12%</w:t>
            </w:r>
          </w:p>
        </w:tc>
      </w:tr>
      <w:tr>
        <w:tc>
          <w:tcPr>
            <w:tcW w:type="dxa" w:w="32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Valor de venta</w:t>
            </w:r>
          </w:p>
        </w:tc>
        <w:tc>
          <w:tcPr>
            <w:tcW w:type="dxa" w:w="60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$4.000.000.000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Régimen de propiedad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es propiedad horizontal — se vende completo o la sociedad dueña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Nota importante: en todo material de campaña, la facturación debe presentarse siempre como cifra bruta. No debe comunicarse ni insinuarse un retorno neto específico al interesado.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4. Objetivo de mi gestión y perfil de comprador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Objetivo: generar y entregar a los propietarios interesados calificados con capacidad de compra total del activo, en un plazo objetivo de 3 meses, con apertura a extender la gestión si se requiere.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Perfiles objetivo de la segmentación (cualquiera de los siguientes, sin exclusión)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Fondos inmobiliarios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Operadores hoteleros o de renta corta que busquen escalar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Family offices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Inversionistas extranjeros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Interesados en convertir el edificio a propiedad horizontal a futuro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filtro determinante no es el tipo de interesado, sino su capacidad real de compra total del activo ($4.000.000.000), evaluada a través del formulario de calificación.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5. La estrategia digital: tres etapas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8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 Difusión discreta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Generar interés calificado en Meta Ads sin exponer datos sensibles del activo.</w:t>
            </w:r>
          </w:p>
        </w:tc>
      </w:tr>
      <w:tr>
        <w:tc>
          <w:tcPr>
            <w:tcW w:type="dxa" w:w="34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 Calificación digital</w:t>
            </w:r>
          </w:p>
        </w:tc>
        <w:tc>
          <w:tcPr>
            <w:tcW w:type="dxa" w:w="58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Filtrar curiosos automáticamente mediante landing y formulario, antes de generar el contacto.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 Entrega de interesados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Traspasar a los propietarios contactos reales, calificados, listos para que ellos avancen.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6. Materiales de la campaña digital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6.1 Teaser (anuncios de Meta Ads)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Qué SÍ puede incluir el teaser: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Ciudad (Bogotá) — sin barrio ni dirección exacta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Tipo de activo: edificio de renta corta en operación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Facturación mensual en términos generales (“facturación mensual de 8 cifras”), sin el monto exacto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Llamado a la acción: dejar datos para recibir información bajo confidencialidad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Qué NO debe incluir el teaser: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Dirección exacta ni fotos que permitan identificar el edificio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Cifra exacta de facturación, valor de venta o estado financiero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Cualquier mención a la hipoteca o al proceso de sucesión de la sociedad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6.2 Landing y formulario de calificación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Formulario que el interesado debe completar antes de ser registrado como interesado calificado. Preguntas sugeridas: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Nombre completo y datos de contacto (correo y teléfono).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¿En calidad de qué participa? (persona natural, sociedad, fondo, representante de un tercero)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¿Cuenta con capacidad de compra por el valor total del activo (aprox. $4.000 millones)?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¿Cuál es su interés principal? (operar el activo, convertirlo a propiedad horizontal, inversión pasiva, otro)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¿En qué plazo estaría en capacidad de avanzar en una compra de este tipo?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¿Cómo se enteró de esta oportunidad?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6.3 Criterios de calificación automática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 considera interesado calificado a quien: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Confirma capacidad de compra por el valor total o cercano al valor de venta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Identifica un perfil coherente con los perfiles objetivo (fondo, operador, family office, inversionista, o interés en conversión a PH)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Deja datos de contacto completos y verificables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se considera calificado (no se traspasa a los propietarios) quien: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Evade o deja en blanco las preguntas de capacidad financiera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Manifiesta solo curiosidad general, sin intención concreta de avanzar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Pide la dirección exacta o el contacto directo con los propietarios antes de completar el formulario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7. Protocolo de entrega de interesados calificados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interesado que pasa el filtro digital se entrega a los propietarios mediante un reporte simple y consistente, que incluye: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Nombre y datos de contacto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Respuestas completas del formulario de calificación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Perfil identificado (fondo, operador, family office, inversionista, interés en PH, otro)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Fecha y canal de origen del contacto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partir de este punto, los propietarios gestionan directamente el NDA, el dossier confidencial, la verificación adicional, la visita y la negociación. Mi gestión no incluye llamadas de verificación, coordinación de visitas ni participación en la negociación, salvo que los propietarios lo soliciten expresamente y se acuerde por separado.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8. Fuera de mi alcance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evitar cualquier expectativa fuera de lo acordado, quedan explícitamente fuera de esta gestión: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NDA y entrega del dossier confidencial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Llamadas de verificación y visitas presenciales al edificio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Negociación, estructura de la oferta y cierre de la venta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Aspectos legales de la sociedad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Sobre este último punto: la sociedad propietaria tiene una hipoteca vigente sobre el inmueble, y un porcentaje de la participación societaria (no la totalidad) está sujeto a un proceso de sucesión en curso. Esta información es relevante para el proceso de venta, pero su resolución y manejo corresponde directamente a los propietarios y su abogado — no a esta gestión digital. Se recomienda que los propietarios confirmen con su abogado un cronograma estimado de resolución, para ajustar expectativas con cualquier interesado avanzado.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9. Plan de campaña mes a mes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58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Mes 1 — Preparación y lanzamiento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Teaser, landing y formulario listos; lanzamiento de la difusión discreta; primeras entregas de interesados calificados.</w:t>
            </w:r>
          </w:p>
        </w:tc>
      </w:tr>
      <w:tr>
        <w:tc>
          <w:tcPr>
            <w:tcW w:type="dxa" w:w="34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Mes 2 — Optimización</w:t>
            </w:r>
          </w:p>
        </w:tc>
        <w:tc>
          <w:tcPr>
            <w:tcW w:type="dxa" w:w="58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Ajuste de audiencias y creativos según quién califica mejor; se descartan los segmentos que solo generan curiosos.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Mes 3 — Escalamiento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Escalamiento de presupuesto en las audiencias de mejor desempeño; remarketing sobre quienes interactuaron sin calificar aún.</w:t>
            </w:r>
          </w:p>
        </w:tc>
      </w:tr>
    </w:tbl>
    <w:p>
      <w:pPr>
        <w:spacing w:before="200"/>
      </w:pP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10. Cronograma semana a semana (12 semanas)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74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1-2</w:t>
            </w:r>
          </w:p>
        </w:tc>
        <w:tc>
          <w:tcPr>
            <w:tcW w:type="dxa" w:w="7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Preparación de teaser, landing y formulario de calificación</w:t>
            </w:r>
          </w:p>
        </w:tc>
      </w:tr>
      <w:tr>
        <w:tc>
          <w:tcPr>
            <w:tcW w:type="dxa" w:w="18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3-4</w:t>
            </w:r>
          </w:p>
        </w:tc>
        <w:tc>
          <w:tcPr>
            <w:tcW w:type="dxa" w:w="74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Lanzamiento de la campaña de difusión discreta en Meta Ads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5-6</w:t>
            </w:r>
          </w:p>
        </w:tc>
        <w:tc>
          <w:tcPr>
            <w:tcW w:type="dxa" w:w="7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Primeras entregas de interesados calificados a los propietarios</w:t>
            </w:r>
          </w:p>
        </w:tc>
      </w:tr>
      <w:tr>
        <w:tc>
          <w:tcPr>
            <w:tcW w:type="dxa" w:w="18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7-8</w:t>
            </w:r>
          </w:p>
        </w:tc>
        <w:tc>
          <w:tcPr>
            <w:tcW w:type="dxa" w:w="74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Optimización de segmentación y creativos según resultados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9-10</w:t>
            </w:r>
          </w:p>
        </w:tc>
        <w:tc>
          <w:tcPr>
            <w:tcW w:type="dxa" w:w="7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Escalamiento de presupuesto en las audiencias de mejor desempeño</w:t>
            </w:r>
          </w:p>
        </w:tc>
      </w:tr>
      <w:tr>
        <w:tc>
          <w:tcPr>
            <w:tcW w:type="dxa" w:w="18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11-12</w:t>
            </w:r>
          </w:p>
        </w:tc>
        <w:tc>
          <w:tcPr>
            <w:tcW w:type="dxa" w:w="74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Remarketing continuo y balance de resultados con los propietarios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 al cierre de la semana 12 no se ha concretado una venta, esta gestión digital puede continuar (con apertura a extender el plazo), mientras los propietarios avanzan en paralelo con los interesados ya entregados.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11. Honorarios y condiciones de pago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000"/>
            <w:shd w:fill="1C1F2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Honorarios de gestión digital: $950.000 / mes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Cubre estrategia, creación y optimización de campañas en Meta Ads para generar y filtrar interesados calificados. Los propietarios asumen aparte el presupuesto de pauta. Se paga siempre, sin importar el origen del comprador final.</w:t>
            </w:r>
          </w:p>
        </w:tc>
      </w:tr>
      <w:tr>
        <w:tc>
          <w:tcPr>
            <w:tcW w:type="dxa" w:w="42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Comisión de éxito: 3% del valor de venta ($120.000.000)</w:t>
            </w:r>
          </w:p>
        </w:tc>
        <w:tc>
          <w:tcPr>
            <w:tcW w:type="dxa" w:w="5000"/>
            <w:shd w:fill="F4F3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Aplica únicamente si el comprador que cierra la operación es entregado directamente por esta gestión de Meta Ads. Si el cierre se da por un contacto ajeno a esta campaña, no aplica.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esquema remunera específicamente la gestión digital (generación y filtro de interesados) y reconoce con una comisión adicional el caso en que el comprador final provenga directamente de esta campaña.</w:t>
      </w:r>
    </w:p>
    <w:p>
      <w:pPr>
        <w:pBdr>
          <w:bottom w:val="single" w:color="D9D6CF" w:sz="6"/>
        </w:pBdr>
        <w:spacing w:after="200" w:before="100"/>
      </w:pP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1C1F26"/>
          <w:sz w:val="30"/>
          <w:szCs w:val="30"/>
        </w:rPr>
        <w:t xml:space="preserve">12. Riesgos y supuestos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plazo de 3 meses es un objetivo para la generación de interesados calificados, no una garantía de venta: el cierre depende del proceso que gestionan directamente los propietarios.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 usar Meta Ads como único canal, el volumen y calidad de interesados depende de la segmentación; se recomienda revisar el desempeño cada 2 semanas y ajustar según los perfiles que mejor califiquen.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Toda cifra financiera comunicada en la campaña debe ser bruta y estar claramente etiquetada como 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 gestión no asume responsabilidad sobre la verificación adicional, la negociación, los aspectos legales (hipoteca, sucesión) ni el cierre de la venta.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6"/>
        <w:sz w:val="16"/>
        <w:szCs w:val="16"/>
      </w:rPr>
      <w:t xml:space="preserve">Confidencial — </w:t>
    </w:r>
    <w:r>
      <w:rPr>
        <w:rFonts w:ascii="Calibri" w:cs="Calibri" w:eastAsia="Calibri" w:hAnsi="Calibri"/>
        <w:color w:val="6B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/>
      </w:pBdr>
      <w:jc w:val="right"/>
    </w:pPr>
    <w:r>
      <w:rPr>
        <w:rFonts w:ascii="Calibri" w:cs="Calibri" w:eastAsia="Calibri" w:hAnsi="Calibri"/>
        <w:color w:val="6B6B66"/>
        <w:sz w:val="16"/>
        <w:szCs w:val="16"/>
      </w:rPr>
      <w:t xml:space="preserve">Hosty56 · Plan de Gestión Digital (Meta Ads)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2026-08-22T21:25:17.878Z</dcterms:created>
  <dcterms:modified xsi:type="dcterms:W3CDTF">2026-08-22T21:25:17.878Z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