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500"/>
      </w:pPr>
      <w:r>
        <w:rPr>
          <w:rFonts w:ascii="Calibri" w:cs="Calibri" w:eastAsia="Calibri" w:hAnsi="Calibri"/>
          <w:b/>
          <w:bCs/>
          <w:color w:val="B08D57"/>
          <w:spacing w:val="20"/>
          <w:sz w:val="21"/>
          <w:szCs w:val="21"/>
        </w:rPr>
        <w:t xml:space="preserve">SISTEMA DE ADQUISICIÓN Y CALIFICACIÓN DE INVERSIONISTAS</w:t>
      </w:r>
    </w:p>
    <w:p>
      <w:pPr>
        <w:spacing w:after="100"/>
      </w:pPr>
      <w:r>
        <w:rPr>
          <w:rFonts w:ascii="Cambria" w:cs="Cambria" w:eastAsia="Cambria" w:hAnsi="Cambria"/>
          <w:b/>
          <w:bCs/>
          <w:color w:val="1C1F26"/>
          <w:sz w:val="64"/>
          <w:szCs w:val="64"/>
        </w:rPr>
        <w:t xml:space="preserve">Plan de Trabajo de 90 Días</w:t>
      </w:r>
    </w:p>
    <w:p>
      <w:pPr>
        <w:spacing w:after="500"/>
      </w:pPr>
      <w:r>
        <w:rPr>
          <w:rFonts w:ascii="Calibri" w:cs="Calibri" w:eastAsia="Calibri" w:hAnsi="Calibri"/>
          <w:i/>
          <w:iCs/>
          <w:color w:val="6B6B66"/>
          <w:sz w:val="24"/>
          <w:szCs w:val="24"/>
        </w:rPr>
        <w:t xml:space="preserve">Activo inmobiliario de alto valor · Bogotá, Colombia · 2026</w:t>
      </w:r>
    </w:p>
    <w:p>
      <w:pPr>
        <w:spacing w:after="60"/>
      </w:pPr>
      <w:r>
        <w:rPr>
          <w:rFonts w:ascii="Calibri" w:cs="Calibri" w:eastAsia="Calibri" w:hAnsi="Calibri"/>
          <w:b/>
          <w:bCs/>
          <w:color w:val="222222"/>
          <w:sz w:val="20"/>
          <w:szCs w:val="20"/>
        </w:rPr>
        <w:t xml:space="preserve">Gestión de adquisición digital: Meta Ads.</w:t>
      </w:r>
    </w:p>
    <w:p>
      <w:pPr>
        <w:spacing w:after="60"/>
      </w:pPr>
      <w:r>
        <w:rPr>
          <w:rFonts w:ascii="Calibri" w:cs="Calibri" w:eastAsia="Calibri" w:hAnsi="Calibri"/>
          <w:color w:val="6B6B66"/>
          <w:sz w:val="20"/>
          <w:szCs w:val="20"/>
        </w:rPr>
        <w:t xml:space="preserve">Documento confidencial — uso exclusivo del propietario y su equipo comercial.</w:t>
      </w:r>
    </w:p>
    <w:p>
      <w:r>
        <w:br w:type="page"/>
      </w:r>
    </w:p>
    <w:p>
      <w:pPr>
        <w:pStyle w:val="Heading1"/>
        <w:spacing w:after="200" w:before="420"/>
      </w:pPr>
      <w:r>
        <w:rPr>
          <w:rFonts w:ascii="Cambria" w:cs="Cambria" w:eastAsia="Cambria" w:hAnsi="Cambria"/>
          <w:b/>
          <w:bCs/>
          <w:color w:val="1C1F26"/>
          <w:sz w:val="30"/>
          <w:szCs w:val="30"/>
        </w:rPr>
        <w:t xml:space="preserve">1. Introducción</w:t>
      </w:r>
    </w:p>
    <w:p>
      <w:pPr>
        <w:spacing w:after="140"/>
      </w:pPr>
      <w:r>
        <w:rPr>
          <w:rFonts w:ascii="Calibri" w:cs="Calibri" w:eastAsia="Calibri" w:hAnsi="Calibri"/>
          <w:color w:val="222222"/>
          <w:sz w:val="21"/>
          <w:szCs w:val="21"/>
        </w:rPr>
        <w:t xml:space="preserve">Este documento presenta el sistema de adquisición y calificación de compradores e inversionistas para un edificio completo en venta, con un valor aproximado de $4.000.000.000 COP. No se trata de una campaña de publicidad genérica: es un sistema estructurado de generación de demanda, diseñado específicamente para un activo de alto valor, donde el objetivo no es acumular volumen de contactos, sino identificar un número reducido de oportunidades reales y calificadas.</w:t>
      </w:r>
    </w:p>
    <w:p>
      <w:pPr>
        <w:spacing w:after="140"/>
      </w:pPr>
      <w:r>
        <w:rPr>
          <w:rFonts w:ascii="Calibri" w:cs="Calibri" w:eastAsia="Calibri" w:hAnsi="Calibri"/>
          <w:color w:val="222222"/>
          <w:sz w:val="21"/>
          <w:szCs w:val="21"/>
        </w:rPr>
        <w:t xml:space="preserve">Meta Ads será el canal digital principal y único que se gestionará directamente en esta fase. El proyecto integra estrategia de segmentación, comunicación, captación, calificación y entrega de oportunidades comerciales — no reemplaza, ni compite con, la gestión comercial, jurídica y de cierre que corresponde al propietario y su equipo.</w:t>
      </w:r>
    </w:p>
    <w:p>
      <w:pPr>
        <w:spacing w:after="140"/>
      </w:pPr>
      <w:r>
        <w:rPr>
          <w:rFonts w:ascii="Calibri" w:cs="Calibri" w:eastAsia="Calibri" w:hAnsi="Calibri"/>
          <w:color w:val="222222"/>
          <w:sz w:val="21"/>
          <w:szCs w:val="21"/>
        </w:rPr>
        <w:t xml:space="preserve">El horizonte de este plan es de 90 días. Al final de este periodo, el propósito es tener un sistema validado y en funcionamiento, con evidencia de qué perfiles, mensajes y canales generan mejores oportunidades — no necesariamente una venta cerrada, que depende de variables ajenas al marketing.</w:t>
      </w:r>
    </w:p>
    <w:p>
      <w:pPr>
        <w:pBdr>
          <w:bottom w:val="single" w:color="D9D6CF" w:sz="6"/>
        </w:pBdr>
        <w:spacing w:after="220" w:before="100"/>
      </w:pPr>
    </w:p>
    <w:p>
      <w:pPr>
        <w:pStyle w:val="Heading1"/>
        <w:spacing w:after="200" w:before="420"/>
      </w:pPr>
      <w:r>
        <w:rPr>
          <w:rFonts w:ascii="Cambria" w:cs="Cambria" w:eastAsia="Cambria" w:hAnsi="Cambria"/>
          <w:b/>
          <w:bCs/>
          <w:color w:val="1C1F26"/>
          <w:sz w:val="30"/>
          <w:szCs w:val="30"/>
        </w:rPr>
        <w:t xml:space="preserve">2. Contexto del activo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c>
          <w:tcPr>
            <w:tcW w:type="dxa" w:w="3400"/>
            <w:shd w:fill="1C1F26" w:val="clear"/>
            <w:tcMar>
              <w:top w:type="dxa" w:w="100"/>
              <w:left w:type="dxa" w:w="150"/>
              <w:bottom w:type="dxa" w:w="100"/>
              <w:right w:type="dxa" w:w="150"/>
            </w:tcMar>
            <w:vAlign w:val="top"/>
          </w:tcPr>
          <w:p>
            <w:r>
              <w:rPr>
                <w:rFonts w:ascii="Calibri" w:cs="Calibri" w:eastAsia="Calibri" w:hAnsi="Calibri"/>
                <w:b/>
                <w:bCs/>
                <w:color w:val="FFFFFF"/>
                <w:sz w:val="19"/>
                <w:szCs w:val="19"/>
              </w:rPr>
              <w:t xml:space="preserve">Dato</w:t>
            </w:r>
          </w:p>
        </w:tc>
        <w:tc>
          <w:tcPr>
            <w:tcW w:type="dxa" w:w="5800"/>
            <w:shd w:fill="1C1F26" w:val="clear"/>
            <w:tcMar>
              <w:top w:type="dxa" w:w="100"/>
              <w:left w:type="dxa" w:w="150"/>
              <w:bottom w:type="dxa" w:w="100"/>
              <w:right w:type="dxa" w:w="150"/>
            </w:tcMar>
            <w:vAlign w:val="top"/>
          </w:tcPr>
          <w:p>
            <w:r>
              <w:rPr>
                <w:rFonts w:ascii="Calibri" w:cs="Calibri" w:eastAsia="Calibri" w:hAnsi="Calibri"/>
                <w:b/>
                <w:bCs/>
                <w:color w:val="FFFFFF"/>
                <w:sz w:val="19"/>
                <w:szCs w:val="19"/>
              </w:rPr>
              <w:t xml:space="preserve">Detalle</w:t>
            </w:r>
          </w:p>
        </w:tc>
      </w:tr>
      <w:tr>
        <w:tc>
          <w:tcPr>
            <w:tcW w:type="dxa" w:w="34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Tipo de activo</w:t>
            </w:r>
          </w:p>
        </w:tc>
        <w:tc>
          <w:tcPr>
            <w:tcW w:type="dxa" w:w="58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Edificio completo en venta</w:t>
            </w:r>
          </w:p>
        </w:tc>
      </w:tr>
      <w:tr>
        <w:tc>
          <w:tcPr>
            <w:tcW w:type="dxa" w:w="34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Régimen de propiedad</w:t>
            </w:r>
          </w:p>
        </w:tc>
        <w:tc>
          <w:tcPr>
            <w:tcW w:type="dxa" w:w="58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No sometido a propiedad horizontal — no se comercializa por apartamentos individuales</w:t>
            </w:r>
          </w:p>
        </w:tc>
      </w:tr>
      <w:tr>
        <w:tc>
          <w:tcPr>
            <w:tcW w:type="dxa" w:w="34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Operación actual</w:t>
            </w:r>
          </w:p>
        </w:tc>
        <w:tc>
          <w:tcPr>
            <w:tcW w:type="dxa" w:w="58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Alojamiento turístico / Airbnb, en funcionamiento</w:t>
            </w:r>
          </w:p>
        </w:tc>
      </w:tr>
      <w:tr>
        <w:tc>
          <w:tcPr>
            <w:tcW w:type="dxa" w:w="34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Ingresos brutos mensuales (aprox.)</w:t>
            </w:r>
          </w:p>
        </w:tc>
        <w:tc>
          <w:tcPr>
            <w:tcW w:type="dxa" w:w="58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$40.000.000 COP</w:t>
            </w:r>
          </w:p>
        </w:tc>
      </w:tr>
      <w:tr>
        <w:tc>
          <w:tcPr>
            <w:tcW w:type="dxa" w:w="34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Ingresos brutos anuales (aprox.)</w:t>
            </w:r>
          </w:p>
        </w:tc>
        <w:tc>
          <w:tcPr>
            <w:tcW w:type="dxa" w:w="58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$480.000.000 COP</w:t>
            </w:r>
          </w:p>
        </w:tc>
      </w:tr>
      <w:tr>
        <w:tc>
          <w:tcPr>
            <w:tcW w:type="dxa" w:w="34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Valor de venta (aprox.)</w:t>
            </w:r>
          </w:p>
        </w:tc>
        <w:tc>
          <w:tcPr>
            <w:tcW w:type="dxa" w:w="58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$4.000.000.000 COP</w:t>
            </w:r>
          </w:p>
        </w:tc>
      </w:tr>
      <w:tr>
        <w:tc>
          <w:tcPr>
            <w:tcW w:type="dxa" w:w="34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Ubicación</w:t>
            </w:r>
          </w:p>
        </w:tc>
        <w:tc>
          <w:tcPr>
            <w:tcW w:type="dxa" w:w="58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Bogotá, Colombia — dirección exacta por validar / uso interno</w:t>
            </w:r>
          </w:p>
        </w:tc>
      </w:tr>
    </w:tbl>
    <w:p>
      <w:pPr>
        <w:spacing w:before="200"/>
      </w:pPr>
    </w:p>
    <w:p>
      <w:pPr>
        <w:spacing w:after="140"/>
      </w:pPr>
      <w:r>
        <w:rPr>
          <w:rFonts w:ascii="Calibri" w:cs="Calibri" w:eastAsia="Calibri" w:hAnsi="Calibri"/>
          <w:color w:val="222222"/>
          <w:sz w:val="21"/>
          <w:szCs w:val="21"/>
        </w:rPr>
        <w:t xml:space="preserve">Nota sobre las cifras: los ingresos brutos reportados corresponden a la operación turística actual y NO deben presentarse como rentabilidad neta. Gastos, impuestos, mantenimiento, comisiones, servicios y administración están pendientes de validación documental. Toda comunicación de campaña debe dejar esto explícito.</w:t>
      </w:r>
    </w:p>
    <w:p>
      <w:pPr>
        <w:pStyle w:val="Heading2"/>
        <w:spacing w:after="140" w:before="280"/>
      </w:pPr>
      <w:r>
        <w:rPr>
          <w:rFonts w:ascii="Calibri" w:cs="Calibri" w:eastAsia="Calibri" w:hAnsi="Calibri"/>
          <w:b/>
          <w:bCs/>
          <w:color w:val="B08D57"/>
          <w:sz w:val="23"/>
          <w:szCs w:val="23"/>
        </w:rPr>
        <w:t xml:space="preserve">Modalidades posibles de adquisición</w:t>
      </w:r>
    </w:p>
    <w:p>
      <w:pPr>
        <w:spacing w:after="140"/>
      </w:pPr>
      <w:r>
        <w:rPr>
          <w:rFonts w:ascii="Calibri" w:cs="Calibri" w:eastAsia="Calibri" w:hAnsi="Calibri"/>
          <w:color w:val="222222"/>
          <w:sz w:val="21"/>
          <w:szCs w:val="21"/>
        </w:rPr>
        <w:t xml:space="preserve">El edificio podría adquirirse bajo distintas modalidades, a definir con el propietario:</w:t>
      </w:r>
    </w:p>
    <w:p>
      <w:pPr>
        <w:pStyle w:val="ListParagraph"/>
        <w:numPr>
          <w:ilvl w:val="0"/>
          <w:numId w:val="2"/>
        </w:numPr>
        <w:spacing w:after="90"/>
      </w:pPr>
      <w:r>
        <w:rPr>
          <w:rFonts w:ascii="Calibri" w:cs="Calibri" w:eastAsia="Calibri" w:hAnsi="Calibri"/>
          <w:color w:val="222222"/>
          <w:sz w:val="21"/>
          <w:szCs w:val="21"/>
        </w:rPr>
        <w:t xml:space="preserve">Con la operación turística actual en marcha</w:t>
      </w:r>
    </w:p>
    <w:p>
      <w:pPr>
        <w:pStyle w:val="ListParagraph"/>
        <w:numPr>
          <w:ilvl w:val="0"/>
          <w:numId w:val="2"/>
        </w:numPr>
        <w:spacing w:after="90"/>
      </w:pPr>
      <w:r>
        <w:rPr>
          <w:rFonts w:ascii="Calibri" w:cs="Calibri" w:eastAsia="Calibri" w:hAnsi="Calibri"/>
          <w:color w:val="222222"/>
          <w:sz w:val="21"/>
          <w:szCs w:val="21"/>
        </w:rPr>
        <w:t xml:space="preserve">Con muebles y equipamiento, si el propietario decide incluirlos</w:t>
      </w:r>
    </w:p>
    <w:p>
      <w:pPr>
        <w:pStyle w:val="ListParagraph"/>
        <w:numPr>
          <w:ilvl w:val="0"/>
          <w:numId w:val="2"/>
        </w:numPr>
        <w:spacing w:after="90"/>
      </w:pPr>
      <w:r>
        <w:rPr>
          <w:rFonts w:ascii="Calibri" w:cs="Calibri" w:eastAsia="Calibri" w:hAnsi="Calibri"/>
          <w:color w:val="222222"/>
          <w:sz w:val="21"/>
          <w:szCs w:val="21"/>
        </w:rPr>
        <w:t xml:space="preserve">Sin muebles ni equipamiento</w:t>
      </w:r>
    </w:p>
    <w:p>
      <w:pPr>
        <w:pStyle w:val="ListParagraph"/>
        <w:numPr>
          <w:ilvl w:val="0"/>
          <w:numId w:val="2"/>
        </w:numPr>
        <w:spacing w:after="90"/>
      </w:pPr>
      <w:r>
        <w:rPr>
          <w:rFonts w:ascii="Calibri" w:cs="Calibri" w:eastAsia="Calibri" w:hAnsi="Calibri"/>
          <w:color w:val="222222"/>
          <w:sz w:val="21"/>
          <w:szCs w:val="21"/>
        </w:rPr>
        <w:t xml:space="preserve">Para continuar operando bajo otro modelo turístico u hotelero</w:t>
      </w:r>
    </w:p>
    <w:p>
      <w:pPr>
        <w:pStyle w:val="ListParagraph"/>
        <w:numPr>
          <w:ilvl w:val="0"/>
          <w:numId w:val="2"/>
        </w:numPr>
        <w:spacing w:after="90"/>
      </w:pPr>
      <w:r>
        <w:rPr>
          <w:rFonts w:ascii="Calibri" w:cs="Calibri" w:eastAsia="Calibri" w:hAnsi="Calibri"/>
          <w:color w:val="222222"/>
          <w:sz w:val="21"/>
          <w:szCs w:val="21"/>
        </w:rPr>
        <w:t xml:space="preserve">Como activo inmobiliario para renta</w:t>
      </w:r>
    </w:p>
    <w:p>
      <w:pPr>
        <w:pStyle w:val="ListParagraph"/>
        <w:numPr>
          <w:ilvl w:val="0"/>
          <w:numId w:val="2"/>
        </w:numPr>
        <w:spacing w:after="90"/>
      </w:pPr>
      <w:r>
        <w:rPr>
          <w:rFonts w:ascii="Calibri" w:cs="Calibri" w:eastAsia="Calibri" w:hAnsi="Calibri"/>
          <w:color w:val="222222"/>
          <w:sz w:val="21"/>
          <w:szCs w:val="21"/>
        </w:rPr>
        <w:t xml:space="preserve">Para reconversión o remodelación, sujeto a viabilidad normativa, jurídica y urbanística</w:t>
      </w:r>
    </w:p>
    <w:p>
      <w:pPr>
        <w:pStyle w:val="ListParagraph"/>
        <w:numPr>
          <w:ilvl w:val="0"/>
          <w:numId w:val="2"/>
        </w:numPr>
        <w:spacing w:after="90"/>
      </w:pPr>
      <w:r>
        <w:rPr>
          <w:rFonts w:ascii="Calibri" w:cs="Calibri" w:eastAsia="Calibri" w:hAnsi="Calibri"/>
          <w:color w:val="222222"/>
          <w:sz w:val="21"/>
          <w:szCs w:val="21"/>
        </w:rPr>
        <w:t xml:space="preserve">Para otro uso permitido según las características y regulación del inmueble</w:t>
      </w:r>
    </w:p>
    <w:p>
      <w:pPr>
        <w:spacing w:after="140"/>
      </w:pPr>
      <w:r>
        <w:rPr>
          <w:rFonts w:ascii="Calibri" w:cs="Calibri" w:eastAsia="Calibri" w:hAnsi="Calibri"/>
          <w:color w:val="222222"/>
          <w:sz w:val="21"/>
          <w:szCs w:val="21"/>
        </w:rPr>
        <w:t xml:space="preserve">La modalidad final de venta — incluyendo si se ofrecen muebles, equipos, la operación en marcha u otros activos adicionales — debe definirse con el propietario y comunicarse de forma consistente en todos los materiales de campaña.</w:t>
      </w:r>
    </w:p>
    <w:p>
      <w:pPr>
        <w:pStyle w:val="Heading2"/>
        <w:spacing w:after="140" w:before="280"/>
      </w:pPr>
      <w:r>
        <w:rPr>
          <w:rFonts w:ascii="Calibri" w:cs="Calibri" w:eastAsia="Calibri" w:hAnsi="Calibri"/>
          <w:b/>
          <w:bCs/>
          <w:color w:val="B08D57"/>
          <w:sz w:val="23"/>
          <w:szCs w:val="23"/>
        </w:rPr>
        <w:t xml:space="preserve">Información pendiente de validar</w:t>
      </w:r>
    </w:p>
    <w:p>
      <w:pPr>
        <w:spacing w:after="140"/>
      </w:pPr>
      <w:r>
        <w:rPr>
          <w:rFonts w:ascii="Calibri" w:cs="Calibri" w:eastAsia="Calibri" w:hAnsi="Calibri"/>
          <w:color w:val="222222"/>
          <w:sz w:val="21"/>
          <w:szCs w:val="21"/>
        </w:rPr>
        <w:t xml:space="preserve">Este documento no asume datos que no han sido confirmados. Los siguientes puntos están marcados como "por validar" y deben resolverse antes o durante el lanzamiento (ver también la sección 20, Información requerida para iniciar):</w:t>
      </w:r>
    </w:p>
    <w:p>
      <w:pPr>
        <w:pStyle w:val="ListParagraph"/>
        <w:numPr>
          <w:ilvl w:val="0"/>
          <w:numId w:val="2"/>
        </w:numPr>
        <w:spacing w:after="90"/>
      </w:pPr>
      <w:r>
        <w:rPr>
          <w:rFonts w:ascii="Calibri" w:cs="Calibri" w:eastAsia="Calibri" w:hAnsi="Calibri"/>
          <w:color w:val="222222"/>
          <w:sz w:val="21"/>
          <w:szCs w:val="21"/>
        </w:rPr>
        <w:t xml:space="preserve">Dirección exacta, barrio y linderos</w:t>
      </w:r>
    </w:p>
    <w:p>
      <w:pPr>
        <w:pStyle w:val="ListParagraph"/>
        <w:numPr>
          <w:ilvl w:val="0"/>
          <w:numId w:val="2"/>
        </w:numPr>
        <w:spacing w:after="90"/>
      </w:pPr>
      <w:r>
        <w:rPr>
          <w:rFonts w:ascii="Calibri" w:cs="Calibri" w:eastAsia="Calibri" w:hAnsi="Calibri"/>
          <w:color w:val="222222"/>
          <w:sz w:val="21"/>
          <w:szCs w:val="21"/>
        </w:rPr>
        <w:t xml:space="preserve">Área construida total y por apartamento, número de habitaciones y baños</w:t>
      </w:r>
    </w:p>
    <w:p>
      <w:pPr>
        <w:pStyle w:val="ListParagraph"/>
        <w:numPr>
          <w:ilvl w:val="0"/>
          <w:numId w:val="2"/>
        </w:numPr>
        <w:spacing w:after="90"/>
      </w:pPr>
      <w:r>
        <w:rPr>
          <w:rFonts w:ascii="Calibri" w:cs="Calibri" w:eastAsia="Calibri" w:hAnsi="Calibri"/>
          <w:color w:val="222222"/>
          <w:sz w:val="21"/>
          <w:szCs w:val="21"/>
        </w:rPr>
        <w:t xml:space="preserve">Antigüedad, estado físico y mantenimiento del inmueble</w:t>
      </w:r>
    </w:p>
    <w:p>
      <w:pPr>
        <w:pStyle w:val="ListParagraph"/>
        <w:numPr>
          <w:ilvl w:val="0"/>
          <w:numId w:val="2"/>
        </w:numPr>
        <w:spacing w:after="90"/>
      </w:pPr>
      <w:r>
        <w:rPr>
          <w:rFonts w:ascii="Calibri" w:cs="Calibri" w:eastAsia="Calibri" w:hAnsi="Calibri"/>
          <w:color w:val="222222"/>
          <w:sz w:val="21"/>
          <w:szCs w:val="21"/>
        </w:rPr>
        <w:t xml:space="preserve">Ocupación histórica y estacionalidad de la operación turística</w:t>
      </w:r>
    </w:p>
    <w:p>
      <w:pPr>
        <w:pStyle w:val="ListParagraph"/>
        <w:numPr>
          <w:ilvl w:val="0"/>
          <w:numId w:val="2"/>
        </w:numPr>
        <w:spacing w:after="90"/>
      </w:pPr>
      <w:r>
        <w:rPr>
          <w:rFonts w:ascii="Calibri" w:cs="Calibri" w:eastAsia="Calibri" w:hAnsi="Calibri"/>
          <w:color w:val="222222"/>
          <w:sz w:val="21"/>
          <w:szCs w:val="21"/>
        </w:rPr>
        <w:t xml:space="preserve">Estados financieros y gastos operativos reales</w:t>
      </w:r>
    </w:p>
    <w:p>
      <w:pPr>
        <w:pStyle w:val="ListParagraph"/>
        <w:numPr>
          <w:ilvl w:val="0"/>
          <w:numId w:val="2"/>
        </w:numPr>
        <w:spacing w:after="90"/>
      </w:pPr>
      <w:r>
        <w:rPr>
          <w:rFonts w:ascii="Calibri" w:cs="Calibri" w:eastAsia="Calibri" w:hAnsi="Calibri"/>
          <w:color w:val="222222"/>
          <w:sz w:val="21"/>
          <w:szCs w:val="21"/>
        </w:rPr>
        <w:t xml:space="preserve">Situación jurídica y societaria completa del inmueble</w:t>
      </w:r>
    </w:p>
    <w:p>
      <w:pPr>
        <w:pStyle w:val="ListParagraph"/>
        <w:numPr>
          <w:ilvl w:val="0"/>
          <w:numId w:val="2"/>
        </w:numPr>
        <w:spacing w:after="90"/>
      </w:pPr>
      <w:r>
        <w:rPr>
          <w:rFonts w:ascii="Calibri" w:cs="Calibri" w:eastAsia="Calibri" w:hAnsi="Calibri"/>
          <w:color w:val="222222"/>
          <w:sz w:val="21"/>
          <w:szCs w:val="21"/>
        </w:rPr>
        <w:t xml:space="preserve">Permisos de operación turística y uso de suelo vigente</w:t>
      </w:r>
    </w:p>
    <w:p>
      <w:pPr>
        <w:pBdr>
          <w:bottom w:val="single" w:color="D9D6CF" w:sz="6"/>
        </w:pBdr>
        <w:spacing w:after="220" w:before="100"/>
      </w:pPr>
    </w:p>
    <w:p>
      <w:pPr>
        <w:pStyle w:val="Heading1"/>
        <w:spacing w:after="200" w:before="420"/>
      </w:pPr>
      <w:r>
        <w:rPr>
          <w:rFonts w:ascii="Cambria" w:cs="Cambria" w:eastAsia="Cambria" w:hAnsi="Cambria"/>
          <w:b/>
          <w:bCs/>
          <w:color w:val="1C1F26"/>
          <w:sz w:val="30"/>
          <w:szCs w:val="30"/>
        </w:rPr>
        <w:t xml:space="preserve">3. Objetivo del proyecto</w:t>
      </w:r>
    </w:p>
    <w:p>
      <w:pPr>
        <w:spacing w:after="140"/>
      </w:pPr>
      <w:r>
        <w:rPr>
          <w:rFonts w:ascii="Calibri" w:cs="Calibri" w:eastAsia="Calibri" w:hAnsi="Calibri"/>
          <w:color w:val="222222"/>
          <w:sz w:val="21"/>
          <w:szCs w:val="21"/>
        </w:rPr>
        <w:t xml:space="preserve">Construir y validar, durante los primeros 90 días, un sistema de generación de demanda mediante Meta Ads que permita identificar, captar y calificar compradores e inversionistas potenciales interesados en adquirir el edificio completo.</w:t>
      </w:r>
    </w:p>
    <w:p>
      <w:pPr>
        <w:spacing w:after="140"/>
      </w:pPr>
      <w:r>
        <w:rPr>
          <w:rFonts w:ascii="Calibri" w:cs="Calibri" w:eastAsia="Calibri" w:hAnsi="Calibri"/>
          <w:color w:val="222222"/>
          <w:sz w:val="21"/>
          <w:szCs w:val="21"/>
        </w:rPr>
        <w:t xml:space="preserve">Este plan NO promete la venta del edificio dentro de los 90 días. El cierre de una operación de este tamaño depende de factores externos al marketing: capacidad financiera real del comprador, negociación, due diligence, documentación jurídica y financiera, condiciones de financiación, condiciones de mercado y decisión final del propietario.</w:t>
      </w:r>
    </w:p>
    <w:p>
      <w:pPr>
        <w:spacing w:after="140"/>
      </w:pPr>
      <w:r>
        <w:rPr>
          <w:rFonts w:ascii="Calibri" w:cs="Calibri" w:eastAsia="Calibri" w:hAnsi="Calibri"/>
          <w:color w:val="222222"/>
          <w:sz w:val="21"/>
          <w:szCs w:val="21"/>
        </w:rPr>
        <w:t xml:space="preserve">El resultado que se busca generar es deal flow: un flujo de oportunidades comerciales calificadas que puedan pasar al proceso de venta gestionado por el propietario y su equipo.</w:t>
      </w:r>
    </w:p>
    <w:p>
      <w:pPr>
        <w:pBdr>
          <w:bottom w:val="single" w:color="D9D6CF" w:sz="6"/>
        </w:pBdr>
        <w:spacing w:after="220" w:before="100"/>
      </w:pPr>
    </w:p>
    <w:p>
      <w:pPr>
        <w:pStyle w:val="Heading1"/>
        <w:spacing w:after="200" w:before="420"/>
      </w:pPr>
      <w:r>
        <w:rPr>
          <w:rFonts w:ascii="Cambria" w:cs="Cambria" w:eastAsia="Cambria" w:hAnsi="Cambria"/>
          <w:b/>
          <w:bCs/>
          <w:color w:val="1C1F26"/>
          <w:sz w:val="30"/>
          <w:szCs w:val="30"/>
        </w:rPr>
        <w:t xml:space="preserve">4. Enfoque estratégico</w:t>
      </w:r>
    </w:p>
    <w:p>
      <w:pPr>
        <w:spacing w:after="140"/>
      </w:pPr>
      <w:r>
        <w:rPr>
          <w:rFonts w:ascii="Calibri" w:cs="Calibri" w:eastAsia="Calibri" w:hAnsi="Calibri"/>
          <w:color w:val="222222"/>
          <w:sz w:val="21"/>
          <w:szCs w:val="21"/>
        </w:rPr>
        <w:t xml:space="preserve">Este proyecto se plantea como un sistema de adquisición y calificación de inversionistas y compradores para un activo inmobiliario de alto valor — no como una campaña de Facebook para vender un edificio.</w:t>
      </w:r>
    </w:p>
    <w:p>
      <w:pPr>
        <w:spacing w:after="140"/>
      </w:pPr>
      <w:r>
        <w:rPr>
          <w:rFonts w:ascii="Calibri" w:cs="Calibri" w:eastAsia="Calibri" w:hAnsi="Calibri"/>
          <w:color w:val="222222"/>
          <w:sz w:val="21"/>
          <w:szCs w:val="21"/>
        </w:rPr>
        <w:t xml:space="preserve">Dado el valor del activo ($4.000 millones), el objetivo no es generar grandes volúmenes de leads económicos, sino identificar un número reducido de oportunidades de alta calidad. Esto cambia por completo la forma de medir el éxito, de comunicar la oferta y de calificar a quienes se interesan.</w:t>
      </w:r>
    </w:p>
    <w:p>
      <w:pPr>
        <w:pStyle w:val="Heading2"/>
        <w:spacing w:after="140" w:before="280"/>
      </w:pPr>
      <w:r>
        <w:rPr>
          <w:rFonts w:ascii="Calibri" w:cs="Calibri" w:eastAsia="Calibri" w:hAnsi="Calibri"/>
          <w:b/>
          <w:bCs/>
          <w:color w:val="B08D57"/>
          <w:sz w:val="23"/>
          <w:szCs w:val="23"/>
        </w:rPr>
        <w:t xml:space="preserve">El embudo estratégico</w:t>
      </w:r>
    </w:p>
    <w:p>
      <w:pPr>
        <w:spacing w:after="140"/>
      </w:pPr>
      <w:r>
        <w:rPr>
          <w:rFonts w:ascii="Calibri" w:cs="Calibri" w:eastAsia="Calibri" w:hAnsi="Calibri"/>
          <w:b/>
          <w:bCs/>
          <w:color w:val="222222"/>
          <w:sz w:val="21"/>
          <w:szCs w:val="21"/>
        </w:rPr>
        <w:t xml:space="preserve">ATENCIÓN → INTERÉS → CONSIDERACIÓN → CALIFICACIÓN → PROSPECTO CALIFICADO → REUNIÓN → PRESENTACIÓN DEL ACTIVO → DUE DILIGENCE → NEGOCIACIÓN → CIERRE</w:t>
      </w:r>
    </w:p>
    <w:p>
      <w:pPr>
        <w:spacing w:after="140"/>
      </w:pPr>
      <w:r>
        <w:rPr>
          <w:rFonts w:ascii="Calibri" w:cs="Calibri" w:eastAsia="Calibri" w:hAnsi="Calibri"/>
          <w:color w:val="222222"/>
          <w:sz w:val="21"/>
          <w:szCs w:val="21"/>
        </w:rPr>
        <w:t xml:space="preserve">La gestión de Meta Ads que asumo directamente cubre desde ATENCIÓN hasta PROSPECTO CALIFICADO. A partir de la etapa de REUNIÓN, el propietario y su equipo comercial toman el relevo del proceso (ver secciones 15 y 16).</w:t>
      </w:r>
    </w:p>
    <w:p>
      <w:pPr>
        <w:pBdr>
          <w:bottom w:val="single" w:color="D9D6CF" w:sz="6"/>
        </w:pBdr>
        <w:spacing w:after="220" w:before="100"/>
      </w:pPr>
    </w:p>
    <w:p>
      <w:pPr>
        <w:pStyle w:val="Heading1"/>
        <w:spacing w:after="200" w:before="420"/>
      </w:pPr>
      <w:r>
        <w:rPr>
          <w:rFonts w:ascii="Cambria" w:cs="Cambria" w:eastAsia="Cambria" w:hAnsi="Cambria"/>
          <w:b/>
          <w:bCs/>
          <w:color w:val="1C1F26"/>
          <w:sz w:val="30"/>
          <w:szCs w:val="30"/>
        </w:rPr>
        <w:t xml:space="preserve">5. Perfiles de compradores</w:t>
      </w:r>
    </w:p>
    <w:p>
      <w:pPr>
        <w:spacing w:after="140"/>
      </w:pPr>
      <w:r>
        <w:rPr>
          <w:rFonts w:ascii="Calibri" w:cs="Calibri" w:eastAsia="Calibri" w:hAnsi="Calibri"/>
          <w:color w:val="222222"/>
          <w:sz w:val="21"/>
          <w:szCs w:val="21"/>
        </w:rPr>
        <w:t xml:space="preserve">Los siguientes perfiles se plantean como hipótesis iniciales de segmentación. Durante el primer mes se validará con datos reales de campaña cuáles responden mejor a la oferta, y la inversión se concentrará progresivamente en los perfiles de mejor desempeño.</w:t>
      </w:r>
    </w:p>
    <w:p>
      <w:pPr>
        <w:pStyle w:val="ListParagraph"/>
        <w:numPr>
          <w:ilvl w:val="0"/>
          <w:numId w:val="3"/>
        </w:numPr>
        <w:spacing w:after="110"/>
      </w:pPr>
      <w:r>
        <w:rPr>
          <w:rFonts w:ascii="Calibri" w:cs="Calibri" w:eastAsia="Calibri" w:hAnsi="Calibri"/>
          <w:b/>
          <w:bCs/>
          <w:color w:val="222222"/>
          <w:sz w:val="21"/>
          <w:szCs w:val="21"/>
        </w:rPr>
        <w:t xml:space="preserve">Inversionista inmobiliario</w:t>
      </w:r>
      <w:r>
        <w:rPr>
          <w:rFonts w:ascii="Calibri" w:cs="Calibri" w:eastAsia="Calibri" w:hAnsi="Calibri"/>
          <w:color w:val="6B6B66"/>
          <w:sz w:val="21"/>
          <w:szCs w:val="21"/>
        </w:rPr>
        <w:t xml:space="preserve"> — compra activos inmobiliarios de forma recurrente, evalúa retorno y ubicación.</w:t>
      </w:r>
    </w:p>
    <w:p>
      <w:pPr>
        <w:pStyle w:val="ListParagraph"/>
        <w:numPr>
          <w:ilvl w:val="0"/>
          <w:numId w:val="3"/>
        </w:numPr>
        <w:spacing w:after="110"/>
      </w:pPr>
      <w:r>
        <w:rPr>
          <w:rFonts w:ascii="Calibri" w:cs="Calibri" w:eastAsia="Calibri" w:hAnsi="Calibri"/>
          <w:b/>
          <w:bCs/>
          <w:color w:val="222222"/>
          <w:sz w:val="21"/>
          <w:szCs w:val="21"/>
        </w:rPr>
        <w:t xml:space="preserve">Inversionista de alto patrimonio</w:t>
      </w:r>
      <w:r>
        <w:rPr>
          <w:rFonts w:ascii="Calibri" w:cs="Calibri" w:eastAsia="Calibri" w:hAnsi="Calibri"/>
          <w:color w:val="6B6B66"/>
          <w:sz w:val="21"/>
          <w:szCs w:val="21"/>
        </w:rPr>
        <w:t xml:space="preserve"> — busca diversificar capital en activos tangibles de valor significativo.</w:t>
      </w:r>
    </w:p>
    <w:p>
      <w:pPr>
        <w:pStyle w:val="ListParagraph"/>
        <w:numPr>
          <w:ilvl w:val="0"/>
          <w:numId w:val="3"/>
        </w:numPr>
        <w:spacing w:after="110"/>
      </w:pPr>
      <w:r>
        <w:rPr>
          <w:rFonts w:ascii="Calibri" w:cs="Calibri" w:eastAsia="Calibri" w:hAnsi="Calibri"/>
          <w:b/>
          <w:bCs/>
          <w:color w:val="222222"/>
          <w:sz w:val="21"/>
          <w:szCs w:val="21"/>
        </w:rPr>
        <w:t xml:space="preserve">Empresario buscando diversificar patrimonio</w:t>
      </w:r>
      <w:r>
        <w:rPr>
          <w:rFonts w:ascii="Calibri" w:cs="Calibri" w:eastAsia="Calibri" w:hAnsi="Calibri"/>
          <w:color w:val="6B6B66"/>
          <w:sz w:val="21"/>
          <w:szCs w:val="21"/>
        </w:rPr>
        <w:t xml:space="preserve"> — capital proveniente de otro negocio, interesado en un activo productivo.</w:t>
      </w:r>
    </w:p>
    <w:p>
      <w:pPr>
        <w:pStyle w:val="ListParagraph"/>
        <w:numPr>
          <w:ilvl w:val="0"/>
          <w:numId w:val="3"/>
        </w:numPr>
        <w:spacing w:after="110"/>
      </w:pPr>
      <w:r>
        <w:rPr>
          <w:rFonts w:ascii="Calibri" w:cs="Calibri" w:eastAsia="Calibri" w:hAnsi="Calibri"/>
          <w:b/>
          <w:bCs/>
          <w:color w:val="222222"/>
          <w:sz w:val="21"/>
          <w:szCs w:val="21"/>
        </w:rPr>
        <w:t xml:space="preserve">Operador turístico</w:t>
      </w:r>
      <w:r>
        <w:rPr>
          <w:rFonts w:ascii="Calibri" w:cs="Calibri" w:eastAsia="Calibri" w:hAnsi="Calibri"/>
          <w:color w:val="6B6B66"/>
          <w:sz w:val="21"/>
          <w:szCs w:val="21"/>
        </w:rPr>
        <w:t xml:space="preserve"> — busca ampliar su portafolio de propiedades de alojamiento.</w:t>
      </w:r>
    </w:p>
    <w:p>
      <w:pPr>
        <w:pStyle w:val="ListParagraph"/>
        <w:numPr>
          <w:ilvl w:val="0"/>
          <w:numId w:val="3"/>
        </w:numPr>
        <w:spacing w:after="110"/>
      </w:pPr>
      <w:r>
        <w:rPr>
          <w:rFonts w:ascii="Calibri" w:cs="Calibri" w:eastAsia="Calibri" w:hAnsi="Calibri"/>
          <w:b/>
          <w:bCs/>
          <w:color w:val="222222"/>
          <w:sz w:val="21"/>
          <w:szCs w:val="21"/>
        </w:rPr>
        <w:t xml:space="preserve">Operador hotelero</w:t>
      </w:r>
      <w:r>
        <w:rPr>
          <w:rFonts w:ascii="Calibri" w:cs="Calibri" w:eastAsia="Calibri" w:hAnsi="Calibri"/>
          <w:color w:val="6B6B66"/>
          <w:sz w:val="21"/>
          <w:szCs w:val="21"/>
        </w:rPr>
        <w:t xml:space="preserve"> — busca activos con operación ya en marcha para escalar su marca.</w:t>
      </w:r>
    </w:p>
    <w:p>
      <w:pPr>
        <w:pStyle w:val="ListParagraph"/>
        <w:numPr>
          <w:ilvl w:val="0"/>
          <w:numId w:val="3"/>
        </w:numPr>
        <w:spacing w:after="110"/>
      </w:pPr>
      <w:r>
        <w:rPr>
          <w:rFonts w:ascii="Calibri" w:cs="Calibri" w:eastAsia="Calibri" w:hAnsi="Calibri"/>
          <w:b/>
          <w:bCs/>
          <w:color w:val="222222"/>
          <w:sz w:val="21"/>
          <w:szCs w:val="21"/>
        </w:rPr>
        <w:t xml:space="preserve">Inversionista en activos productivos</w:t>
      </w:r>
      <w:r>
        <w:rPr>
          <w:rFonts w:ascii="Calibri" w:cs="Calibri" w:eastAsia="Calibri" w:hAnsi="Calibri"/>
          <w:color w:val="6B6B66"/>
          <w:sz w:val="21"/>
          <w:szCs w:val="21"/>
        </w:rPr>
        <w:t xml:space="preserve"> — prioriza un activo que ya genera flujo de caja sobre uno especulativo.</w:t>
      </w:r>
    </w:p>
    <w:p>
      <w:pPr>
        <w:pStyle w:val="ListParagraph"/>
        <w:numPr>
          <w:ilvl w:val="0"/>
          <w:numId w:val="3"/>
        </w:numPr>
        <w:spacing w:after="110"/>
      </w:pPr>
      <w:r>
        <w:rPr>
          <w:rFonts w:ascii="Calibri" w:cs="Calibri" w:eastAsia="Calibri" w:hAnsi="Calibri"/>
          <w:b/>
          <w:bCs/>
          <w:color w:val="222222"/>
          <w:sz w:val="21"/>
          <w:szCs w:val="21"/>
        </w:rPr>
        <w:t xml:space="preserve">Comprador de inmueble para renta</w:t>
      </w:r>
      <w:r>
        <w:rPr>
          <w:rFonts w:ascii="Calibri" w:cs="Calibri" w:eastAsia="Calibri" w:hAnsi="Calibri"/>
          <w:color w:val="6B6B66"/>
          <w:sz w:val="21"/>
          <w:szCs w:val="21"/>
        </w:rPr>
        <w:t xml:space="preserve"> — interesado en el edificio como fuente de ingresos por arrendamiento.</w:t>
      </w:r>
    </w:p>
    <w:p>
      <w:pPr>
        <w:pStyle w:val="ListParagraph"/>
        <w:numPr>
          <w:ilvl w:val="0"/>
          <w:numId w:val="3"/>
        </w:numPr>
        <w:spacing w:after="110"/>
      </w:pPr>
      <w:r>
        <w:rPr>
          <w:rFonts w:ascii="Calibri" w:cs="Calibri" w:eastAsia="Calibri" w:hAnsi="Calibri"/>
          <w:b/>
          <w:bCs/>
          <w:color w:val="222222"/>
          <w:sz w:val="21"/>
          <w:szCs w:val="21"/>
        </w:rPr>
        <w:t xml:space="preserve">Constructor o desarrollador</w:t>
      </w:r>
      <w:r>
        <w:rPr>
          <w:rFonts w:ascii="Calibri" w:cs="Calibri" w:eastAsia="Calibri" w:hAnsi="Calibri"/>
          <w:color w:val="6B6B66"/>
          <w:sz w:val="21"/>
          <w:szCs w:val="21"/>
        </w:rPr>
        <w:t xml:space="preserve"> — evaluaría el potencial de redesarrollo — sujeto a viabilidad urbanística (por validar).</w:t>
      </w:r>
    </w:p>
    <w:p>
      <w:pPr>
        <w:pStyle w:val="ListParagraph"/>
        <w:numPr>
          <w:ilvl w:val="0"/>
          <w:numId w:val="3"/>
        </w:numPr>
        <w:spacing w:after="110"/>
      </w:pPr>
      <w:r>
        <w:rPr>
          <w:rFonts w:ascii="Calibri" w:cs="Calibri" w:eastAsia="Calibri" w:hAnsi="Calibri"/>
          <w:b/>
          <w:bCs/>
          <w:color w:val="222222"/>
          <w:sz w:val="21"/>
          <w:szCs w:val="21"/>
        </w:rPr>
        <w:t xml:space="preserve">Comprador interesado en remodelar o reconvertir</w:t>
      </w:r>
      <w:r>
        <w:rPr>
          <w:rFonts w:ascii="Calibri" w:cs="Calibri" w:eastAsia="Calibri" w:hAnsi="Calibri"/>
          <w:color w:val="6B6B66"/>
          <w:sz w:val="21"/>
          <w:szCs w:val="21"/>
        </w:rPr>
        <w:t xml:space="preserve"> — ve el inmueble como base para un proyecto distinto.</w:t>
      </w:r>
    </w:p>
    <w:p>
      <w:pPr>
        <w:pStyle w:val="ListParagraph"/>
        <w:numPr>
          <w:ilvl w:val="0"/>
          <w:numId w:val="3"/>
        </w:numPr>
        <w:spacing w:after="110"/>
      </w:pPr>
      <w:r>
        <w:rPr>
          <w:rFonts w:ascii="Calibri" w:cs="Calibri" w:eastAsia="Calibri" w:hAnsi="Calibri"/>
          <w:b/>
          <w:bCs/>
          <w:color w:val="222222"/>
          <w:sz w:val="21"/>
          <w:szCs w:val="21"/>
        </w:rPr>
        <w:t xml:space="preserve">Empresas u organizaciones</w:t>
      </w:r>
      <w:r>
        <w:rPr>
          <w:rFonts w:ascii="Calibri" w:cs="Calibri" w:eastAsia="Calibri" w:hAnsi="Calibri"/>
          <w:color w:val="6B6B66"/>
          <w:sz w:val="21"/>
          <w:szCs w:val="21"/>
        </w:rPr>
        <w:t xml:space="preserve"> — interés institucional o corporativo, sujeto a uso permitido del inmueble.</w:t>
      </w:r>
    </w:p>
    <w:p>
      <w:pPr>
        <w:pBdr>
          <w:bottom w:val="single" w:color="D9D6CF" w:sz="6"/>
        </w:pBdr>
        <w:spacing w:after="220" w:before="100"/>
      </w:pPr>
    </w:p>
    <w:p>
      <w:pPr>
        <w:pStyle w:val="Heading1"/>
        <w:spacing w:after="200" w:before="420"/>
      </w:pPr>
      <w:r>
        <w:rPr>
          <w:rFonts w:ascii="Cambria" w:cs="Cambria" w:eastAsia="Cambria" w:hAnsi="Cambria"/>
          <w:b/>
          <w:bCs/>
          <w:color w:val="1C1F26"/>
          <w:sz w:val="30"/>
          <w:szCs w:val="30"/>
        </w:rPr>
        <w:t xml:space="preserve">6. Tesis de adquisición del activo</w:t>
      </w:r>
    </w:p>
    <w:p>
      <w:pPr>
        <w:spacing w:after="140"/>
      </w:pPr>
      <w:r>
        <w:rPr>
          <w:rFonts w:ascii="Calibri" w:cs="Calibri" w:eastAsia="Calibri" w:hAnsi="Calibri"/>
          <w:color w:val="222222"/>
          <w:sz w:val="21"/>
          <w:szCs w:val="21"/>
        </w:rPr>
        <w:t xml:space="preserve">Cada tesis es una forma distinta de comunicar la oportunidad según el interés del comprador. Ninguna tesis afirma rentabilidades netas ni usos no confirmados; todas están sujetas a la validación documental correspondiente.</w:t>
      </w:r>
    </w:p>
    <w:p>
      <w:pPr>
        <w:pStyle w:val="ListParagraph"/>
        <w:numPr>
          <w:ilvl w:val="0"/>
          <w:numId w:val="4"/>
        </w:numPr>
        <w:spacing w:after="110"/>
      </w:pPr>
      <w:r>
        <w:rPr>
          <w:rFonts w:ascii="Calibri" w:cs="Calibri" w:eastAsia="Calibri" w:hAnsi="Calibri"/>
          <w:b/>
          <w:bCs/>
          <w:color w:val="222222"/>
          <w:sz w:val="21"/>
          <w:szCs w:val="21"/>
        </w:rPr>
        <w:t xml:space="preserve">Activo actualmente productivo</w:t>
      </w:r>
      <w:r>
        <w:rPr>
          <w:rFonts w:ascii="Calibri" w:cs="Calibri" w:eastAsia="Calibri" w:hAnsi="Calibri"/>
          <w:color w:val="6B6B66"/>
          <w:sz w:val="21"/>
          <w:szCs w:val="21"/>
        </w:rPr>
        <w:t xml:space="preserve"> — ingresos brutos aproximados de $40.000.000 mensuales por la operación en marcha.</w:t>
      </w:r>
    </w:p>
    <w:p>
      <w:pPr>
        <w:pStyle w:val="ListParagraph"/>
        <w:numPr>
          <w:ilvl w:val="0"/>
          <w:numId w:val="4"/>
        </w:numPr>
        <w:spacing w:after="110"/>
      </w:pPr>
      <w:r>
        <w:rPr>
          <w:rFonts w:ascii="Calibri" w:cs="Calibri" w:eastAsia="Calibri" w:hAnsi="Calibri"/>
          <w:b/>
          <w:bCs/>
          <w:color w:val="222222"/>
          <w:sz w:val="21"/>
          <w:szCs w:val="21"/>
        </w:rPr>
        <w:t xml:space="preserve">Continuidad de la operación turística</w:t>
      </w:r>
      <w:r>
        <w:rPr>
          <w:rFonts w:ascii="Calibri" w:cs="Calibri" w:eastAsia="Calibri" w:hAnsi="Calibri"/>
          <w:color w:val="6B6B66"/>
          <w:sz w:val="21"/>
          <w:szCs w:val="21"/>
        </w:rPr>
        <w:t xml:space="preserve"> — adquisición del edificio completo para mantener el modelo actual.</w:t>
      </w:r>
    </w:p>
    <w:p>
      <w:pPr>
        <w:pStyle w:val="ListParagraph"/>
        <w:numPr>
          <w:ilvl w:val="0"/>
          <w:numId w:val="4"/>
        </w:numPr>
        <w:spacing w:after="110"/>
      </w:pPr>
      <w:r>
        <w:rPr>
          <w:rFonts w:ascii="Calibri" w:cs="Calibri" w:eastAsia="Calibri" w:hAnsi="Calibri"/>
          <w:b/>
          <w:bCs/>
          <w:color w:val="222222"/>
          <w:sz w:val="21"/>
          <w:szCs w:val="21"/>
        </w:rPr>
        <w:t xml:space="preserve">Activo inmobiliario para renta</w:t>
      </w:r>
      <w:r>
        <w:rPr>
          <w:rFonts w:ascii="Calibri" w:cs="Calibri" w:eastAsia="Calibri" w:hAnsi="Calibri"/>
          <w:color w:val="6B6B66"/>
          <w:sz w:val="21"/>
          <w:szCs w:val="21"/>
        </w:rPr>
        <w:t xml:space="preserve"> — el edificio como fuente de ingresos por arrendamiento, fuera del modelo turístico.</w:t>
      </w:r>
    </w:p>
    <w:p>
      <w:pPr>
        <w:pStyle w:val="ListParagraph"/>
        <w:numPr>
          <w:ilvl w:val="0"/>
          <w:numId w:val="4"/>
        </w:numPr>
        <w:spacing w:after="110"/>
      </w:pPr>
      <w:r>
        <w:rPr>
          <w:rFonts w:ascii="Calibri" w:cs="Calibri" w:eastAsia="Calibri" w:hAnsi="Calibri"/>
          <w:b/>
          <w:bCs/>
          <w:color w:val="222222"/>
          <w:sz w:val="21"/>
          <w:szCs w:val="21"/>
        </w:rPr>
        <w:t xml:space="preserve">Operación bajo otro modelo turístico u hotelero</w:t>
      </w:r>
      <w:r>
        <w:rPr>
          <w:rFonts w:ascii="Calibri" w:cs="Calibri" w:eastAsia="Calibri" w:hAnsi="Calibri"/>
          <w:color w:val="6B6B66"/>
          <w:sz w:val="21"/>
          <w:szCs w:val="21"/>
        </w:rPr>
        <w:t xml:space="preserve"> — sujeto a viabilidad operativa y normativa.</w:t>
      </w:r>
    </w:p>
    <w:p>
      <w:pPr>
        <w:pStyle w:val="ListParagraph"/>
        <w:numPr>
          <w:ilvl w:val="0"/>
          <w:numId w:val="4"/>
        </w:numPr>
        <w:spacing w:after="110"/>
      </w:pPr>
      <w:r>
        <w:rPr>
          <w:rFonts w:ascii="Calibri" w:cs="Calibri" w:eastAsia="Calibri" w:hAnsi="Calibri"/>
          <w:b/>
          <w:bCs/>
          <w:color w:val="222222"/>
          <w:sz w:val="21"/>
          <w:szCs w:val="21"/>
        </w:rPr>
        <w:t xml:space="preserve">Adquisición sin muebles ni equipamiento</w:t>
      </w:r>
      <w:r>
        <w:rPr>
          <w:rFonts w:ascii="Calibri" w:cs="Calibri" w:eastAsia="Calibri" w:hAnsi="Calibri"/>
          <w:color w:val="6B6B66"/>
          <w:sz w:val="21"/>
          <w:szCs w:val="21"/>
        </w:rPr>
        <w:t xml:space="preserve"> — si esta modalidad resulta comercialmente conveniente para el propietario.</w:t>
      </w:r>
    </w:p>
    <w:p>
      <w:pPr>
        <w:pStyle w:val="ListParagraph"/>
        <w:numPr>
          <w:ilvl w:val="0"/>
          <w:numId w:val="4"/>
        </w:numPr>
        <w:spacing w:after="110"/>
      </w:pPr>
      <w:r>
        <w:rPr>
          <w:rFonts w:ascii="Calibri" w:cs="Calibri" w:eastAsia="Calibri" w:hAnsi="Calibri"/>
          <w:b/>
          <w:bCs/>
          <w:color w:val="222222"/>
          <w:sz w:val="21"/>
          <w:szCs w:val="21"/>
        </w:rPr>
        <w:t xml:space="preserve">Adquisición con mobiliario, equipamiento y operación existente</w:t>
      </w:r>
      <w:r>
        <w:rPr>
          <w:rFonts w:ascii="Calibri" w:cs="Calibri" w:eastAsia="Calibri" w:hAnsi="Calibri"/>
          <w:color w:val="6B6B66"/>
          <w:sz w:val="21"/>
          <w:szCs w:val="21"/>
        </w:rPr>
        <w:t xml:space="preserve"> — si el propietario decide ofrecer esta alternativa.</w:t>
      </w:r>
    </w:p>
    <w:p>
      <w:pPr>
        <w:pStyle w:val="ListParagraph"/>
        <w:numPr>
          <w:ilvl w:val="0"/>
          <w:numId w:val="4"/>
        </w:numPr>
        <w:spacing w:after="110"/>
      </w:pPr>
      <w:r>
        <w:rPr>
          <w:rFonts w:ascii="Calibri" w:cs="Calibri" w:eastAsia="Calibri" w:hAnsi="Calibri"/>
          <w:b/>
          <w:bCs/>
          <w:color w:val="222222"/>
          <w:sz w:val="21"/>
          <w:szCs w:val="21"/>
        </w:rPr>
        <w:t xml:space="preserve">Remodelación, reconversión o desarrollo</w:t>
      </w:r>
      <w:r>
        <w:rPr>
          <w:rFonts w:ascii="Calibri" w:cs="Calibri" w:eastAsia="Calibri" w:hAnsi="Calibri"/>
          <w:color w:val="6B6B66"/>
          <w:sz w:val="21"/>
          <w:szCs w:val="21"/>
        </w:rPr>
        <w:t xml:space="preserve"> — cualquier uso futuro debe estar sujeto a estudio jurídico, urbanístico y normativo independiente.</w:t>
      </w:r>
    </w:p>
    <w:p>
      <w:pPr>
        <w:spacing w:after="140"/>
      </w:pPr>
      <w:r>
        <w:rPr>
          <w:rFonts w:ascii="Calibri" w:cs="Calibri" w:eastAsia="Calibri" w:hAnsi="Calibri"/>
          <w:color w:val="222222"/>
          <w:sz w:val="21"/>
          <w:szCs w:val="21"/>
        </w:rPr>
        <w:t xml:space="preserve">La modalidad y tesis que finalmente se prioricen en la comunicación se ajustarán con el propietario antes del lanzamiento, y podrán combinarse en distintos creativos para probar cuál genera mejor respuesta.</w:t>
      </w:r>
    </w:p>
    <w:p>
      <w:pPr>
        <w:pBdr>
          <w:bottom w:val="single" w:color="D9D6CF" w:sz="6"/>
        </w:pBdr>
        <w:spacing w:after="220" w:before="100"/>
      </w:pPr>
    </w:p>
    <w:p>
      <w:pPr>
        <w:pStyle w:val="Heading1"/>
        <w:spacing w:after="200" w:before="420"/>
      </w:pPr>
      <w:r>
        <w:rPr>
          <w:rFonts w:ascii="Cambria" w:cs="Cambria" w:eastAsia="Cambria" w:hAnsi="Cambria"/>
          <w:b/>
          <w:bCs/>
          <w:color w:val="1C1F26"/>
          <w:sz w:val="30"/>
          <w:szCs w:val="30"/>
        </w:rPr>
        <w:t xml:space="preserve">7. Estrategia de Meta Ads</w:t>
      </w:r>
    </w:p>
    <w:p>
      <w:pPr>
        <w:spacing w:after="140"/>
      </w:pPr>
      <w:r>
        <w:rPr>
          <w:rFonts w:ascii="Calibri" w:cs="Calibri" w:eastAsia="Calibri" w:hAnsi="Calibri"/>
          <w:color w:val="222222"/>
          <w:sz w:val="21"/>
          <w:szCs w:val="21"/>
        </w:rPr>
        <w:t xml:space="preserve">Meta Ads es el único canal digital de adquisición que se gestiona directamente en este proyecto. Es importante ser claros sobre una limitación estructural de la plataforma: Meta no puede identificar directamente quién tiene $4.000 millones disponibles para invertir. No existe un segmento de "personas con capacidad de compra de activos de alto valor" como tal.</w:t>
      </w:r>
    </w:p>
    <w:p>
      <w:pPr>
        <w:spacing w:after="140"/>
      </w:pPr>
      <w:r>
        <w:rPr>
          <w:rFonts w:ascii="Calibri" w:cs="Calibri" w:eastAsia="Calibri" w:hAnsi="Calibri"/>
          <w:color w:val="222222"/>
          <w:sz w:val="21"/>
          <w:szCs w:val="21"/>
        </w:rPr>
        <w:t xml:space="preserve">Por esta razón, la estrategia no depende únicamente de la segmentación por intereses. Se apoya en un conjunto de señales combinadas:</w:t>
      </w:r>
    </w:p>
    <w:p>
      <w:pPr>
        <w:pStyle w:val="ListParagraph"/>
        <w:numPr>
          <w:ilvl w:val="0"/>
          <w:numId w:val="2"/>
        </w:numPr>
        <w:spacing w:after="90"/>
      </w:pPr>
      <w:r>
        <w:rPr>
          <w:rFonts w:ascii="Calibri" w:cs="Calibri" w:eastAsia="Calibri" w:hAnsi="Calibri"/>
          <w:color w:val="222222"/>
          <w:sz w:val="21"/>
          <w:szCs w:val="21"/>
        </w:rPr>
        <w:t xml:space="preserve">Creativos y mensajes diseñados para autoseleccionar al público correcto</w:t>
      </w:r>
    </w:p>
    <w:p>
      <w:pPr>
        <w:pStyle w:val="ListParagraph"/>
        <w:numPr>
          <w:ilvl w:val="0"/>
          <w:numId w:val="2"/>
        </w:numPr>
        <w:spacing w:after="90"/>
      </w:pPr>
      <w:r>
        <w:rPr>
          <w:rFonts w:ascii="Calibri" w:cs="Calibri" w:eastAsia="Calibri" w:hAnsi="Calibri"/>
          <w:color w:val="222222"/>
          <w:sz w:val="21"/>
          <w:szCs w:val="21"/>
        </w:rPr>
        <w:t xml:space="preserve">Señales de comportamiento (interacción con contenido de inversión, patrimonio, bienes raíces de alto valor)</w:t>
      </w:r>
    </w:p>
    <w:p>
      <w:pPr>
        <w:pStyle w:val="ListParagraph"/>
        <w:numPr>
          <w:ilvl w:val="0"/>
          <w:numId w:val="2"/>
        </w:numPr>
        <w:spacing w:after="90"/>
      </w:pPr>
      <w:r>
        <w:rPr>
          <w:rFonts w:ascii="Calibri" w:cs="Calibri" w:eastAsia="Calibri" w:hAnsi="Calibri"/>
          <w:color w:val="222222"/>
          <w:sz w:val="21"/>
          <w:szCs w:val="21"/>
        </w:rPr>
        <w:t xml:space="preserve">Landing page y formularios que filtran por respuestas, no solo por clic</w:t>
      </w:r>
    </w:p>
    <w:p>
      <w:pPr>
        <w:pStyle w:val="ListParagraph"/>
        <w:numPr>
          <w:ilvl w:val="0"/>
          <w:numId w:val="2"/>
        </w:numPr>
        <w:spacing w:after="90"/>
      </w:pPr>
      <w:r>
        <w:rPr>
          <w:rFonts w:ascii="Calibri" w:cs="Calibri" w:eastAsia="Calibri" w:hAnsi="Calibri"/>
          <w:color w:val="222222"/>
          <w:sz w:val="21"/>
          <w:szCs w:val="21"/>
        </w:rPr>
        <w:t xml:space="preserve">Preguntas de calificación dentro del proceso de captación</w:t>
      </w:r>
    </w:p>
    <w:p>
      <w:pPr>
        <w:pStyle w:val="ListParagraph"/>
        <w:numPr>
          <w:ilvl w:val="0"/>
          <w:numId w:val="2"/>
        </w:numPr>
        <w:spacing w:after="90"/>
      </w:pPr>
      <w:r>
        <w:rPr>
          <w:rFonts w:ascii="Calibri" w:cs="Calibri" w:eastAsia="Calibri" w:hAnsi="Calibri"/>
          <w:color w:val="222222"/>
          <w:sz w:val="21"/>
          <w:szCs w:val="21"/>
        </w:rPr>
        <w:t xml:space="preserve">Remarketing progresivo, que revela más información a quien demuestra interés real</w:t>
      </w:r>
    </w:p>
    <w:p>
      <w:pPr>
        <w:pStyle w:val="ListParagraph"/>
        <w:numPr>
          <w:ilvl w:val="0"/>
          <w:numId w:val="2"/>
        </w:numPr>
        <w:spacing w:after="90"/>
      </w:pPr>
      <w:r>
        <w:rPr>
          <w:rFonts w:ascii="Calibri" w:cs="Calibri" w:eastAsia="Calibri" w:hAnsi="Calibri"/>
          <w:color w:val="222222"/>
          <w:sz w:val="21"/>
          <w:szCs w:val="21"/>
        </w:rPr>
        <w:t xml:space="preserve">Datos de conversión y optimización progresiva de la plataforma hacia quienes sí califican</w:t>
      </w:r>
    </w:p>
    <w:p>
      <w:pPr>
        <w:pStyle w:val="Heading2"/>
        <w:spacing w:after="140" w:before="280"/>
      </w:pPr>
      <w:r>
        <w:rPr>
          <w:rFonts w:ascii="Calibri" w:cs="Calibri" w:eastAsia="Calibri" w:hAnsi="Calibri"/>
          <w:b/>
          <w:bCs/>
          <w:color w:val="B08D57"/>
          <w:sz w:val="23"/>
          <w:szCs w:val="23"/>
        </w:rPr>
        <w:t xml:space="preserve">Tipos de campaña</w:t>
      </w:r>
    </w:p>
    <w:p>
      <w:pPr>
        <w:pStyle w:val="ListParagraph"/>
        <w:numPr>
          <w:ilvl w:val="0"/>
          <w:numId w:val="2"/>
        </w:numPr>
        <w:spacing w:after="90"/>
      </w:pPr>
      <w:r>
        <w:rPr>
          <w:rFonts w:ascii="Calibri" w:cs="Calibri" w:eastAsia="Calibri" w:hAnsi="Calibri"/>
          <w:color w:val="222222"/>
          <w:sz w:val="21"/>
          <w:szCs w:val="21"/>
        </w:rPr>
        <w:t xml:space="preserve">Campañas de prospección: alcanzar públicos nuevos con los distintos ángulos y tesis de adquisición</w:t>
      </w:r>
    </w:p>
    <w:p>
      <w:pPr>
        <w:pStyle w:val="ListParagraph"/>
        <w:numPr>
          <w:ilvl w:val="0"/>
          <w:numId w:val="2"/>
        </w:numPr>
        <w:spacing w:after="90"/>
      </w:pPr>
      <w:r>
        <w:rPr>
          <w:rFonts w:ascii="Calibri" w:cs="Calibri" w:eastAsia="Calibri" w:hAnsi="Calibri"/>
          <w:color w:val="222222"/>
          <w:sz w:val="21"/>
          <w:szCs w:val="21"/>
        </w:rPr>
        <w:t xml:space="preserve">Campañas de remarketing: reimpactar a quienes ya interactuaron, con mensajes más específicos y de mayor confianza</w:t>
      </w:r>
    </w:p>
    <w:p>
      <w:pPr>
        <w:pStyle w:val="Heading2"/>
        <w:spacing w:after="140" w:before="280"/>
      </w:pPr>
      <w:r>
        <w:rPr>
          <w:rFonts w:ascii="Calibri" w:cs="Calibri" w:eastAsia="Calibri" w:hAnsi="Calibri"/>
          <w:b/>
          <w:bCs/>
          <w:color w:val="B08D57"/>
          <w:sz w:val="23"/>
          <w:szCs w:val="23"/>
        </w:rPr>
        <w:t xml:space="preserve">Ángulos creativos y formatos</w:t>
      </w:r>
    </w:p>
    <w:p>
      <w:pPr>
        <w:spacing w:after="140"/>
      </w:pPr>
      <w:r>
        <w:rPr>
          <w:rFonts w:ascii="Calibri" w:cs="Calibri" w:eastAsia="Calibri" w:hAnsi="Calibri"/>
          <w:color w:val="222222"/>
          <w:sz w:val="21"/>
          <w:szCs w:val="21"/>
        </w:rPr>
        <w:t xml:space="preserve">Se probarán múltiples ángulos de comunicación, sin depender de uno solo:</w:t>
      </w:r>
    </w:p>
    <w:p>
      <w:pPr>
        <w:pStyle w:val="ListParagraph"/>
        <w:numPr>
          <w:ilvl w:val="0"/>
          <w:numId w:val="2"/>
        </w:numPr>
        <w:spacing w:after="90"/>
      </w:pPr>
      <w:r>
        <w:rPr>
          <w:rFonts w:ascii="Calibri" w:cs="Calibri" w:eastAsia="Calibri" w:hAnsi="Calibri"/>
          <w:color w:val="222222"/>
          <w:sz w:val="21"/>
          <w:szCs w:val="21"/>
        </w:rPr>
        <w:t xml:space="preserve">Mensajes orientados a inversión (retorno, activo tangible, diversificación de patrimonio)</w:t>
      </w:r>
    </w:p>
    <w:p>
      <w:pPr>
        <w:pStyle w:val="ListParagraph"/>
        <w:numPr>
          <w:ilvl w:val="0"/>
          <w:numId w:val="2"/>
        </w:numPr>
        <w:spacing w:after="90"/>
      </w:pPr>
      <w:r>
        <w:rPr>
          <w:rFonts w:ascii="Calibri" w:cs="Calibri" w:eastAsia="Calibri" w:hAnsi="Calibri"/>
          <w:color w:val="222222"/>
          <w:sz w:val="21"/>
          <w:szCs w:val="21"/>
        </w:rPr>
        <w:t xml:space="preserve">Mensajes orientados al activo (el edificio como propiedad, su magnitud y ubicación)</w:t>
      </w:r>
    </w:p>
    <w:p>
      <w:pPr>
        <w:pStyle w:val="ListParagraph"/>
        <w:numPr>
          <w:ilvl w:val="0"/>
          <w:numId w:val="2"/>
        </w:numPr>
        <w:spacing w:after="90"/>
      </w:pPr>
      <w:r>
        <w:rPr>
          <w:rFonts w:ascii="Calibri" w:cs="Calibri" w:eastAsia="Calibri" w:hAnsi="Calibri"/>
          <w:color w:val="222222"/>
          <w:sz w:val="21"/>
          <w:szCs w:val="21"/>
        </w:rPr>
        <w:t xml:space="preserve">Mensajes orientados a la operación turística (negocio en marcha, ingresos actuales)</w:t>
      </w:r>
    </w:p>
    <w:p>
      <w:pPr>
        <w:pStyle w:val="ListParagraph"/>
        <w:numPr>
          <w:ilvl w:val="0"/>
          <w:numId w:val="2"/>
        </w:numPr>
        <w:spacing w:after="90"/>
      </w:pPr>
      <w:r>
        <w:rPr>
          <w:rFonts w:ascii="Calibri" w:cs="Calibri" w:eastAsia="Calibri" w:hAnsi="Calibri"/>
          <w:color w:val="222222"/>
          <w:sz w:val="21"/>
          <w:szCs w:val="21"/>
        </w:rPr>
        <w:t xml:space="preserve">Mensajes orientados a la oportunidad inmobiliaria (renta, reconversión, desarrollo)</w:t>
      </w:r>
    </w:p>
    <w:p>
      <w:pPr>
        <w:pStyle w:val="ListParagraph"/>
        <w:numPr>
          <w:ilvl w:val="0"/>
          <w:numId w:val="2"/>
        </w:numPr>
        <w:spacing w:after="90"/>
      </w:pPr>
      <w:r>
        <w:rPr>
          <w:rFonts w:ascii="Calibri" w:cs="Calibri" w:eastAsia="Calibri" w:hAnsi="Calibri"/>
          <w:color w:val="222222"/>
          <w:sz w:val="21"/>
          <w:szCs w:val="21"/>
        </w:rPr>
        <w:t xml:space="preserve">Mensajes orientados a compradores de alto patrimonio (discreción, exclusividad, magnitud de la operación)</w:t>
      </w:r>
    </w:p>
    <w:p>
      <w:pPr>
        <w:spacing w:after="140"/>
      </w:pPr>
      <w:r>
        <w:rPr>
          <w:rFonts w:ascii="Calibri" w:cs="Calibri" w:eastAsia="Calibri" w:hAnsi="Calibri"/>
          <w:color w:val="222222"/>
          <w:sz w:val="21"/>
          <w:szCs w:val="21"/>
        </w:rPr>
        <w:t xml:space="preserve">Formatos a utilizar: video, imágenes estáticas y carruseles — priorizando siempre los formatos que mejor comuniquen la magnitud y seriedad del activo.</w:t>
      </w:r>
    </w:p>
    <w:p>
      <w:pPr>
        <w:pBdr>
          <w:bottom w:val="single" w:color="D9D6CF" w:sz="6"/>
        </w:pBdr>
        <w:spacing w:after="220" w:before="100"/>
      </w:pPr>
    </w:p>
    <w:p>
      <w:pPr>
        <w:pStyle w:val="Heading1"/>
        <w:spacing w:after="200" w:before="420"/>
      </w:pPr>
      <w:r>
        <w:rPr>
          <w:rFonts w:ascii="Cambria" w:cs="Cambria" w:eastAsia="Cambria" w:hAnsi="Cambria"/>
          <w:b/>
          <w:bCs/>
          <w:color w:val="1C1F26"/>
          <w:sz w:val="30"/>
          <w:szCs w:val="30"/>
        </w:rPr>
        <w:t xml:space="preserve">8. Embudo de adquisición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5100"/>
        <w:gridCol w:w="1900"/>
      </w:tblGrid>
      <w:tr>
        <w:tc>
          <w:tcPr>
            <w:tcW w:type="dxa" w:w="2200"/>
            <w:shd w:fill="1C1F26" w:val="clear"/>
            <w:tcMar>
              <w:top w:type="dxa" w:w="100"/>
              <w:left w:type="dxa" w:w="150"/>
              <w:bottom w:type="dxa" w:w="100"/>
              <w:right w:type="dxa" w:w="150"/>
            </w:tcMar>
            <w:vAlign w:val="top"/>
          </w:tcPr>
          <w:p>
            <w:r>
              <w:rPr>
                <w:rFonts w:ascii="Calibri" w:cs="Calibri" w:eastAsia="Calibri" w:hAnsi="Calibri"/>
                <w:b/>
                <w:bCs/>
                <w:color w:val="FFFFFF"/>
                <w:sz w:val="19"/>
                <w:szCs w:val="19"/>
              </w:rPr>
              <w:t xml:space="preserve">Etapa</w:t>
            </w:r>
          </w:p>
        </w:tc>
        <w:tc>
          <w:tcPr>
            <w:tcW w:type="dxa" w:w="5100"/>
            <w:shd w:fill="1C1F26" w:val="clear"/>
            <w:tcMar>
              <w:top w:type="dxa" w:w="100"/>
              <w:left w:type="dxa" w:w="150"/>
              <w:bottom w:type="dxa" w:w="100"/>
              <w:right w:type="dxa" w:w="150"/>
            </w:tcMar>
            <w:vAlign w:val="top"/>
          </w:tcPr>
          <w:p>
            <w:r>
              <w:rPr>
                <w:rFonts w:ascii="Calibri" w:cs="Calibri" w:eastAsia="Calibri" w:hAnsi="Calibri"/>
                <w:b/>
                <w:bCs/>
                <w:color w:val="FFFFFF"/>
                <w:sz w:val="19"/>
                <w:szCs w:val="19"/>
              </w:rPr>
              <w:t xml:space="preserve">Descripción</w:t>
            </w:r>
          </w:p>
        </w:tc>
        <w:tc>
          <w:tcPr>
            <w:tcW w:type="dxa" w:w="1900"/>
            <w:shd w:fill="1C1F26" w:val="clear"/>
            <w:tcMar>
              <w:top w:type="dxa" w:w="100"/>
              <w:left w:type="dxa" w:w="150"/>
              <w:bottom w:type="dxa" w:w="100"/>
              <w:right w:type="dxa" w:w="150"/>
            </w:tcMar>
            <w:vAlign w:val="top"/>
          </w:tcPr>
          <w:p>
            <w:r>
              <w:rPr>
                <w:rFonts w:ascii="Calibri" w:cs="Calibri" w:eastAsia="Calibri" w:hAnsi="Calibri"/>
                <w:b/>
                <w:bCs/>
                <w:color w:val="FFFFFF"/>
                <w:sz w:val="19"/>
                <w:szCs w:val="19"/>
              </w:rPr>
              <w:t xml:space="preserve">Responsable</w:t>
            </w:r>
          </w:p>
        </w:tc>
      </w:tr>
      <w:tr>
        <w:tc>
          <w:tcPr>
            <w:tcW w:type="dxa" w:w="22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Atención</w:t>
            </w:r>
          </w:p>
        </w:tc>
        <w:tc>
          <w:tcPr>
            <w:tcW w:type="dxa" w:w="51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El anuncio capta la atención de la audiencia objetivo en Meta Ads</w:t>
            </w:r>
          </w:p>
        </w:tc>
        <w:tc>
          <w:tcPr>
            <w:tcW w:type="dxa" w:w="19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Gestión digital</w:t>
            </w:r>
          </w:p>
        </w:tc>
      </w:tr>
      <w:tr>
        <w:tc>
          <w:tcPr>
            <w:tcW w:type="dxa" w:w="22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Interés</w:t>
            </w:r>
          </w:p>
        </w:tc>
        <w:tc>
          <w:tcPr>
            <w:tcW w:type="dxa" w:w="51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El prospecto se detiene, ve el contenido, reconoce la oportunidad</w:t>
            </w:r>
          </w:p>
        </w:tc>
        <w:tc>
          <w:tcPr>
            <w:tcW w:type="dxa" w:w="19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Gestión digital</w:t>
            </w:r>
          </w:p>
        </w:tc>
      </w:tr>
      <w:tr>
        <w:tc>
          <w:tcPr>
            <w:tcW w:type="dxa" w:w="22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Consideración</w:t>
            </w:r>
          </w:p>
        </w:tc>
        <w:tc>
          <w:tcPr>
            <w:tcW w:type="dxa" w:w="51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Visita la landing page, explora el activo y las tesis de adquisición</w:t>
            </w:r>
          </w:p>
        </w:tc>
        <w:tc>
          <w:tcPr>
            <w:tcW w:type="dxa" w:w="19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Gestión digital</w:t>
            </w:r>
          </w:p>
        </w:tc>
      </w:tr>
      <w:tr>
        <w:tc>
          <w:tcPr>
            <w:tcW w:type="dxa" w:w="22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Calificación</w:t>
            </w:r>
          </w:p>
        </w:tc>
        <w:tc>
          <w:tcPr>
            <w:tcW w:type="dxa" w:w="51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Completa el formulario de calificación</w:t>
            </w:r>
          </w:p>
        </w:tc>
        <w:tc>
          <w:tcPr>
            <w:tcW w:type="dxa" w:w="19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Gestión digital</w:t>
            </w:r>
          </w:p>
        </w:tc>
      </w:tr>
      <w:tr>
        <w:tc>
          <w:tcPr>
            <w:tcW w:type="dxa" w:w="22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Prospecto calificado</w:t>
            </w:r>
          </w:p>
        </w:tc>
        <w:tc>
          <w:tcPr>
            <w:tcW w:type="dxa" w:w="51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Cumple los criterios mínimos de capacidad e intención</w:t>
            </w:r>
          </w:p>
        </w:tc>
        <w:tc>
          <w:tcPr>
            <w:tcW w:type="dxa" w:w="19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Gestión digital</w:t>
            </w:r>
          </w:p>
        </w:tc>
      </w:tr>
      <w:tr>
        <w:tc>
          <w:tcPr>
            <w:tcW w:type="dxa" w:w="22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Reunión</w:t>
            </w:r>
          </w:p>
        </w:tc>
        <w:tc>
          <w:tcPr>
            <w:tcW w:type="dxa" w:w="51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Se agenda una reunión con el equipo comercial del propietario</w:t>
            </w:r>
          </w:p>
        </w:tc>
        <w:tc>
          <w:tcPr>
            <w:tcW w:type="dxa" w:w="19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Equipo del propietario</w:t>
            </w:r>
          </w:p>
        </w:tc>
      </w:tr>
      <w:tr>
        <w:tc>
          <w:tcPr>
            <w:tcW w:type="dxa" w:w="22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Presentación del activo</w:t>
            </w:r>
          </w:p>
        </w:tc>
        <w:tc>
          <w:tcPr>
            <w:tcW w:type="dxa" w:w="51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Se presenta la información completa del edificio</w:t>
            </w:r>
          </w:p>
        </w:tc>
        <w:tc>
          <w:tcPr>
            <w:tcW w:type="dxa" w:w="19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Equipo del propietario</w:t>
            </w:r>
          </w:p>
        </w:tc>
      </w:tr>
      <w:tr>
        <w:tc>
          <w:tcPr>
            <w:tcW w:type="dxa" w:w="22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Due diligence</w:t>
            </w:r>
          </w:p>
        </w:tc>
        <w:tc>
          <w:tcPr>
            <w:tcW w:type="dxa" w:w="51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Revisión financiera, jurídica y técnica por parte del comprador</w:t>
            </w:r>
          </w:p>
        </w:tc>
        <w:tc>
          <w:tcPr>
            <w:tcW w:type="dxa" w:w="19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Equipo del propietario</w:t>
            </w:r>
          </w:p>
        </w:tc>
      </w:tr>
      <w:tr>
        <w:tc>
          <w:tcPr>
            <w:tcW w:type="dxa" w:w="22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Negociación</w:t>
            </w:r>
          </w:p>
        </w:tc>
        <w:tc>
          <w:tcPr>
            <w:tcW w:type="dxa" w:w="51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Discusión de condiciones, precio y estructura de la operación</w:t>
            </w:r>
          </w:p>
        </w:tc>
        <w:tc>
          <w:tcPr>
            <w:tcW w:type="dxa" w:w="19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Equipo del propietario</w:t>
            </w:r>
          </w:p>
        </w:tc>
      </w:tr>
      <w:tr>
        <w:tc>
          <w:tcPr>
            <w:tcW w:type="dxa" w:w="22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Cierre</w:t>
            </w:r>
          </w:p>
        </w:tc>
        <w:tc>
          <w:tcPr>
            <w:tcW w:type="dxa" w:w="51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Formalización de la venta</w:t>
            </w:r>
          </w:p>
        </w:tc>
        <w:tc>
          <w:tcPr>
            <w:tcW w:type="dxa" w:w="19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Equipo del propietario</w:t>
            </w:r>
          </w:p>
        </w:tc>
      </w:tr>
    </w:tbl>
    <w:p>
      <w:pPr>
        <w:spacing w:before="200"/>
      </w:pPr>
    </w:p>
    <w:p>
      <w:pPr>
        <w:spacing w:after="140"/>
      </w:pPr>
      <w:r>
        <w:rPr>
          <w:rFonts w:ascii="Calibri" w:cs="Calibri" w:eastAsia="Calibri" w:hAnsi="Calibri"/>
          <w:color w:val="222222"/>
          <w:sz w:val="21"/>
          <w:szCs w:val="21"/>
        </w:rPr>
        <w:t xml:space="preserve">La gestión de Meta Ads es responsable de las primeras cinco etapas del embudo. A partir de la Reunión, el proceso queda enteramente en manos del propietario y su equipo comercial.</w:t>
      </w:r>
    </w:p>
    <w:p>
      <w:pPr>
        <w:pBdr>
          <w:bottom w:val="single" w:color="D9D6CF" w:sz="6"/>
        </w:pBdr>
        <w:spacing w:after="220" w:before="100"/>
      </w:pPr>
    </w:p>
    <w:p>
      <w:pPr>
        <w:pStyle w:val="Heading1"/>
        <w:spacing w:after="200" w:before="420"/>
      </w:pPr>
      <w:r>
        <w:rPr>
          <w:rFonts w:ascii="Cambria" w:cs="Cambria" w:eastAsia="Cambria" w:hAnsi="Cambria"/>
          <w:b/>
          <w:bCs/>
          <w:color w:val="1C1F26"/>
          <w:sz w:val="30"/>
          <w:szCs w:val="30"/>
        </w:rPr>
        <w:t xml:space="preserve">9. Sistema de calificación</w:t>
      </w:r>
    </w:p>
    <w:p>
      <w:pPr>
        <w:spacing w:after="140"/>
      </w:pPr>
      <w:r>
        <w:rPr>
          <w:rFonts w:ascii="Calibri" w:cs="Calibri" w:eastAsia="Calibri" w:hAnsi="Calibri"/>
          <w:color w:val="222222"/>
          <w:sz w:val="21"/>
          <w:szCs w:val="21"/>
        </w:rPr>
        <w:t xml:space="preserve">El formulario de calificación busca información suficiente para identificar intención y capacidad, sin resultar invasivo. Se plantea como un paso profesional, coherente con la magnitud del activo.</w:t>
      </w:r>
    </w:p>
    <w:p>
      <w:pPr>
        <w:pStyle w:val="Heading2"/>
        <w:spacing w:after="140" w:before="280"/>
      </w:pPr>
      <w:r>
        <w:rPr>
          <w:rFonts w:ascii="Calibri" w:cs="Calibri" w:eastAsia="Calibri" w:hAnsi="Calibri"/>
          <w:b/>
          <w:bCs/>
          <w:color w:val="B08D57"/>
          <w:sz w:val="23"/>
          <w:szCs w:val="23"/>
        </w:rPr>
        <w:t xml:space="preserve">Preguntas propuestas</w:t>
      </w:r>
    </w:p>
    <w:p>
      <w:pPr>
        <w:pStyle w:val="ListParagraph"/>
        <w:numPr>
          <w:ilvl w:val="0"/>
          <w:numId w:val="5"/>
        </w:numPr>
        <w:spacing w:after="110"/>
      </w:pPr>
      <w:r>
        <w:rPr>
          <w:rFonts w:ascii="Calibri" w:cs="Calibri" w:eastAsia="Calibri" w:hAnsi="Calibri"/>
          <w:color w:val="222222"/>
          <w:sz w:val="21"/>
          <w:szCs w:val="21"/>
        </w:rPr>
        <w:t xml:space="preserve">Nombre completo y datos de contacto (correo y teléfono)</w:t>
      </w:r>
    </w:p>
    <w:p>
      <w:pPr>
        <w:pStyle w:val="ListParagraph"/>
        <w:numPr>
          <w:ilvl w:val="0"/>
          <w:numId w:val="5"/>
        </w:numPr>
        <w:spacing w:after="110"/>
      </w:pPr>
      <w:r>
        <w:rPr>
          <w:rFonts w:ascii="Calibri" w:cs="Calibri" w:eastAsia="Calibri" w:hAnsi="Calibri"/>
          <w:color w:val="222222"/>
          <w:sz w:val="21"/>
          <w:szCs w:val="21"/>
        </w:rPr>
        <w:t xml:space="preserve">Rango aproximado de capacidad de inversión disponible para este tipo de activo</w:t>
      </w:r>
    </w:p>
    <w:p>
      <w:pPr>
        <w:pStyle w:val="ListParagraph"/>
        <w:numPr>
          <w:ilvl w:val="0"/>
          <w:numId w:val="5"/>
        </w:numPr>
        <w:spacing w:after="110"/>
      </w:pPr>
      <w:r>
        <w:rPr>
          <w:rFonts w:ascii="Calibri" w:cs="Calibri" w:eastAsia="Calibri" w:hAnsi="Calibri"/>
          <w:color w:val="222222"/>
          <w:sz w:val="21"/>
          <w:szCs w:val="21"/>
        </w:rPr>
        <w:t xml:space="preserve">¿Cuál es su intención principal? (inversión, operación, desarrollo, otro)</w:t>
      </w:r>
    </w:p>
    <w:p>
      <w:pPr>
        <w:pStyle w:val="ListParagraph"/>
        <w:numPr>
          <w:ilvl w:val="0"/>
          <w:numId w:val="5"/>
        </w:numPr>
        <w:spacing w:after="110"/>
      </w:pPr>
      <w:r>
        <w:rPr>
          <w:rFonts w:ascii="Calibri" w:cs="Calibri" w:eastAsia="Calibri" w:hAnsi="Calibri"/>
          <w:color w:val="222222"/>
          <w:sz w:val="21"/>
          <w:szCs w:val="21"/>
        </w:rPr>
        <w:t xml:space="preserve">¿Qué uso le daría al activo si lo adquiere?</w:t>
      </w:r>
    </w:p>
    <w:p>
      <w:pPr>
        <w:pStyle w:val="ListParagraph"/>
        <w:numPr>
          <w:ilvl w:val="0"/>
          <w:numId w:val="5"/>
        </w:numPr>
        <w:spacing w:after="110"/>
      </w:pPr>
      <w:r>
        <w:rPr>
          <w:rFonts w:ascii="Calibri" w:cs="Calibri" w:eastAsia="Calibri" w:hAnsi="Calibri"/>
          <w:color w:val="222222"/>
          <w:sz w:val="21"/>
          <w:szCs w:val="21"/>
        </w:rPr>
        <w:t xml:space="preserve">¿Cuál es su horizonte de inversión esperado?</w:t>
      </w:r>
    </w:p>
    <w:p>
      <w:pPr>
        <w:pStyle w:val="ListParagraph"/>
        <w:numPr>
          <w:ilvl w:val="0"/>
          <w:numId w:val="5"/>
        </w:numPr>
        <w:spacing w:after="110"/>
      </w:pPr>
      <w:r>
        <w:rPr>
          <w:rFonts w:ascii="Calibri" w:cs="Calibri" w:eastAsia="Calibri" w:hAnsi="Calibri"/>
          <w:color w:val="222222"/>
          <w:sz w:val="21"/>
          <w:szCs w:val="21"/>
        </w:rPr>
        <w:t xml:space="preserve">¿Requeriría financiación para esta compra, o cuenta con capital propio?</w:t>
      </w:r>
    </w:p>
    <w:p>
      <w:pPr>
        <w:pStyle w:val="ListParagraph"/>
        <w:numPr>
          <w:ilvl w:val="0"/>
          <w:numId w:val="5"/>
        </w:numPr>
        <w:spacing w:after="110"/>
      </w:pPr>
      <w:r>
        <w:rPr>
          <w:rFonts w:ascii="Calibri" w:cs="Calibri" w:eastAsia="Calibri" w:hAnsi="Calibri"/>
          <w:color w:val="222222"/>
          <w:sz w:val="21"/>
          <w:szCs w:val="21"/>
        </w:rPr>
        <w:t xml:space="preserve">¿Tiene experiencia previa invirtiendo en bienes raíces?</w:t>
      </w:r>
    </w:p>
    <w:p>
      <w:pPr>
        <w:pStyle w:val="Heading2"/>
        <w:spacing w:after="140" w:before="280"/>
      </w:pPr>
      <w:r>
        <w:rPr>
          <w:rFonts w:ascii="Calibri" w:cs="Calibri" w:eastAsia="Calibri" w:hAnsi="Calibri"/>
          <w:b/>
          <w:bCs/>
          <w:color w:val="B08D57"/>
          <w:sz w:val="23"/>
          <w:szCs w:val="23"/>
        </w:rPr>
        <w:t xml:space="preserve">Criterios de calificación</w:t>
      </w:r>
    </w:p>
    <w:p>
      <w:pPr>
        <w:spacing w:after="140"/>
      </w:pPr>
      <w:r>
        <w:rPr>
          <w:rFonts w:ascii="Calibri" w:cs="Calibri" w:eastAsia="Calibri" w:hAnsi="Calibri"/>
          <w:color w:val="222222"/>
          <w:sz w:val="21"/>
          <w:szCs w:val="21"/>
        </w:rPr>
        <w:t xml:space="preserve">Se considera un prospecto calificado quien indica un rango de capacidad de inversión compatible con el valor del activo, expresa una intención clara (no solo curiosidad), y proporciona datos de contacto completos y verificables. Los prospectos que no cumplen estos criterios permanecen en remarketing informativo, pero no se entregan como oportunidad comercial al equipo del propietario.</w:t>
      </w:r>
    </w:p>
    <w:p>
      <w:pPr>
        <w:pBdr>
          <w:bottom w:val="single" w:color="D9D6CF" w:sz="6"/>
        </w:pBdr>
        <w:spacing w:after="220" w:before="100"/>
      </w:pPr>
    </w:p>
    <w:p>
      <w:pPr>
        <w:pStyle w:val="Heading1"/>
        <w:spacing w:after="200" w:before="420"/>
      </w:pPr>
      <w:r>
        <w:rPr>
          <w:rFonts w:ascii="Cambria" w:cs="Cambria" w:eastAsia="Cambria" w:hAnsi="Cambria"/>
          <w:b/>
          <w:bCs/>
          <w:color w:val="1C1F26"/>
          <w:sz w:val="30"/>
          <w:szCs w:val="30"/>
        </w:rPr>
        <w:t xml:space="preserve">10. Landing y experiencia del prospecto</w:t>
      </w:r>
    </w:p>
    <w:p>
      <w:pPr>
        <w:spacing w:after="140"/>
      </w:pPr>
      <w:r>
        <w:rPr>
          <w:rFonts w:ascii="Calibri" w:cs="Calibri" w:eastAsia="Calibri" w:hAnsi="Calibri"/>
          <w:color w:val="222222"/>
          <w:sz w:val="21"/>
          <w:szCs w:val="21"/>
        </w:rPr>
        <w:t xml:space="preserve">La landing page es la puerta de entrada a la información del activo y debe transmitir la seriedad de una operación de $4.000 millones. Estructura propuesta:</w:t>
      </w:r>
    </w:p>
    <w:p>
      <w:pPr>
        <w:pStyle w:val="ListParagraph"/>
        <w:numPr>
          <w:ilvl w:val="0"/>
          <w:numId w:val="2"/>
        </w:numPr>
        <w:spacing w:after="90"/>
      </w:pPr>
      <w:r>
        <w:rPr>
          <w:rFonts w:ascii="Calibri" w:cs="Calibri" w:eastAsia="Calibri" w:hAnsi="Calibri"/>
          <w:color w:val="222222"/>
          <w:sz w:val="21"/>
          <w:szCs w:val="21"/>
        </w:rPr>
        <w:t xml:space="preserve">Presentación del activo (edificio completo, en operación)</w:t>
      </w:r>
    </w:p>
    <w:p>
      <w:pPr>
        <w:pStyle w:val="ListParagraph"/>
        <w:numPr>
          <w:ilvl w:val="0"/>
          <w:numId w:val="2"/>
        </w:numPr>
        <w:spacing w:after="90"/>
      </w:pPr>
      <w:r>
        <w:rPr>
          <w:rFonts w:ascii="Calibri" w:cs="Calibri" w:eastAsia="Calibri" w:hAnsi="Calibri"/>
          <w:color w:val="222222"/>
          <w:sz w:val="21"/>
          <w:szCs w:val="21"/>
        </w:rPr>
        <w:t xml:space="preserve">Precio de venta</w:t>
      </w:r>
    </w:p>
    <w:p>
      <w:pPr>
        <w:pStyle w:val="ListParagraph"/>
        <w:numPr>
          <w:ilvl w:val="0"/>
          <w:numId w:val="2"/>
        </w:numPr>
        <w:spacing w:after="90"/>
      </w:pPr>
      <w:r>
        <w:rPr>
          <w:rFonts w:ascii="Calibri" w:cs="Calibri" w:eastAsia="Calibri" w:hAnsi="Calibri"/>
          <w:color w:val="222222"/>
          <w:sz w:val="21"/>
          <w:szCs w:val="21"/>
        </w:rPr>
        <w:t xml:space="preserve">Características principales confirmadas (las pendientes se completan cuando estén validadas)</w:t>
      </w:r>
    </w:p>
    <w:p>
      <w:pPr>
        <w:pStyle w:val="ListParagraph"/>
        <w:numPr>
          <w:ilvl w:val="0"/>
          <w:numId w:val="2"/>
        </w:numPr>
        <w:spacing w:after="90"/>
      </w:pPr>
      <w:r>
        <w:rPr>
          <w:rFonts w:ascii="Calibri" w:cs="Calibri" w:eastAsia="Calibri" w:hAnsi="Calibri"/>
          <w:color w:val="222222"/>
          <w:sz w:val="21"/>
          <w:szCs w:val="21"/>
        </w:rPr>
        <w:t xml:space="preserve">Modelo actual de operación (alojamiento turístico / Airbnb)</w:t>
      </w:r>
    </w:p>
    <w:p>
      <w:pPr>
        <w:pStyle w:val="ListParagraph"/>
        <w:numPr>
          <w:ilvl w:val="0"/>
          <w:numId w:val="2"/>
        </w:numPr>
        <w:spacing w:after="90"/>
      </w:pPr>
      <w:r>
        <w:rPr>
          <w:rFonts w:ascii="Calibri" w:cs="Calibri" w:eastAsia="Calibri" w:hAnsi="Calibri"/>
          <w:color w:val="222222"/>
          <w:sz w:val="21"/>
          <w:szCs w:val="21"/>
        </w:rPr>
        <w:t xml:space="preserve">Ingresos brutos aproximados, con disclaimer financiero</w:t>
      </w:r>
    </w:p>
    <w:p>
      <w:pPr>
        <w:pStyle w:val="ListParagraph"/>
        <w:numPr>
          <w:ilvl w:val="0"/>
          <w:numId w:val="2"/>
        </w:numPr>
        <w:spacing w:after="90"/>
      </w:pPr>
      <w:r>
        <w:rPr>
          <w:rFonts w:ascii="Calibri" w:cs="Calibri" w:eastAsia="Calibri" w:hAnsi="Calibri"/>
          <w:color w:val="222222"/>
          <w:sz w:val="21"/>
          <w:szCs w:val="21"/>
        </w:rPr>
        <w:t xml:space="preserve">Presentación de las posibles tesis de adquisición</w:t>
      </w:r>
    </w:p>
    <w:p>
      <w:pPr>
        <w:pStyle w:val="ListParagraph"/>
        <w:numPr>
          <w:ilvl w:val="0"/>
          <w:numId w:val="2"/>
        </w:numPr>
        <w:spacing w:after="90"/>
      </w:pPr>
      <w:r>
        <w:rPr>
          <w:rFonts w:ascii="Calibri" w:cs="Calibri" w:eastAsia="Calibri" w:hAnsi="Calibri"/>
          <w:color w:val="222222"/>
          <w:sz w:val="21"/>
          <w:szCs w:val="21"/>
        </w:rPr>
        <w:t xml:space="preserve">Fotografías del activo</w:t>
      </w:r>
    </w:p>
    <w:p>
      <w:pPr>
        <w:pStyle w:val="ListParagraph"/>
        <w:numPr>
          <w:ilvl w:val="0"/>
          <w:numId w:val="2"/>
        </w:numPr>
        <w:spacing w:after="90"/>
      </w:pPr>
      <w:r>
        <w:rPr>
          <w:rFonts w:ascii="Calibri" w:cs="Calibri" w:eastAsia="Calibri" w:hAnsi="Calibri"/>
          <w:color w:val="222222"/>
          <w:sz w:val="21"/>
          <w:szCs w:val="21"/>
        </w:rPr>
        <w:t xml:space="preserve">Video institucional o del recorrido</w:t>
      </w:r>
    </w:p>
    <w:p>
      <w:pPr>
        <w:pStyle w:val="ListParagraph"/>
        <w:numPr>
          <w:ilvl w:val="0"/>
          <w:numId w:val="2"/>
        </w:numPr>
        <w:spacing w:after="90"/>
      </w:pPr>
      <w:r>
        <w:rPr>
          <w:rFonts w:ascii="Calibri" w:cs="Calibri" w:eastAsia="Calibri" w:hAnsi="Calibri"/>
          <w:color w:val="222222"/>
          <w:sz w:val="21"/>
          <w:szCs w:val="21"/>
        </w:rPr>
        <w:t xml:space="preserve">Ubicación general (Bogotá; nivel de detalle según se defina con el propietario)</w:t>
      </w:r>
    </w:p>
    <w:p>
      <w:pPr>
        <w:pStyle w:val="ListParagraph"/>
        <w:numPr>
          <w:ilvl w:val="0"/>
          <w:numId w:val="2"/>
        </w:numPr>
        <w:spacing w:after="90"/>
      </w:pPr>
      <w:r>
        <w:rPr>
          <w:rFonts w:ascii="Calibri" w:cs="Calibri" w:eastAsia="Calibri" w:hAnsi="Calibri"/>
          <w:color w:val="222222"/>
          <w:sz w:val="21"/>
          <w:szCs w:val="21"/>
        </w:rPr>
        <w:t xml:space="preserve">Beneficios y diferenciales del activo</w:t>
      </w:r>
    </w:p>
    <w:p>
      <w:pPr>
        <w:pStyle w:val="ListParagraph"/>
        <w:numPr>
          <w:ilvl w:val="0"/>
          <w:numId w:val="2"/>
        </w:numPr>
        <w:spacing w:after="90"/>
      </w:pPr>
      <w:r>
        <w:rPr>
          <w:rFonts w:ascii="Calibri" w:cs="Calibri" w:eastAsia="Calibri" w:hAnsi="Calibri"/>
          <w:color w:val="222222"/>
          <w:sz w:val="21"/>
          <w:szCs w:val="21"/>
        </w:rPr>
        <w:t xml:space="preserve">Llamado a la acción (CTA) hacia el formulario de calificación</w:t>
      </w:r>
    </w:p>
    <w:p>
      <w:pPr>
        <w:pStyle w:val="ListParagraph"/>
        <w:numPr>
          <w:ilvl w:val="0"/>
          <w:numId w:val="2"/>
        </w:numPr>
        <w:spacing w:after="90"/>
      </w:pPr>
      <w:r>
        <w:rPr>
          <w:rFonts w:ascii="Calibri" w:cs="Calibri" w:eastAsia="Calibri" w:hAnsi="Calibri"/>
          <w:color w:val="222222"/>
          <w:sz w:val="21"/>
          <w:szCs w:val="21"/>
        </w:rPr>
        <w:t xml:space="preserve">Formulario de calificación integrado</w:t>
      </w:r>
    </w:p>
    <w:p>
      <w:pPr>
        <w:pStyle w:val="ListParagraph"/>
        <w:numPr>
          <w:ilvl w:val="0"/>
          <w:numId w:val="2"/>
        </w:numPr>
        <w:spacing w:after="90"/>
      </w:pPr>
      <w:r>
        <w:rPr>
          <w:rFonts w:ascii="Calibri" w:cs="Calibri" w:eastAsia="Calibri" w:hAnsi="Calibri"/>
          <w:color w:val="222222"/>
          <w:sz w:val="21"/>
          <w:szCs w:val="21"/>
        </w:rPr>
        <w:t xml:space="preserve">Disclaimer: los datos financieros son aproximados y están sujetos a validación y documentación formal</w:t>
      </w:r>
    </w:p>
    <w:p>
      <w:pPr>
        <w:pBdr>
          <w:bottom w:val="single" w:color="D9D6CF" w:sz="6"/>
        </w:pBdr>
        <w:spacing w:after="220" w:before="100"/>
      </w:pPr>
    </w:p>
    <w:p>
      <w:pPr>
        <w:pStyle w:val="Heading1"/>
        <w:spacing w:after="200" w:before="420"/>
      </w:pPr>
      <w:r>
        <w:rPr>
          <w:rFonts w:ascii="Cambria" w:cs="Cambria" w:eastAsia="Cambria" w:hAnsi="Cambria"/>
          <w:b/>
          <w:bCs/>
          <w:color w:val="1C1F26"/>
          <w:sz w:val="30"/>
          <w:szCs w:val="30"/>
        </w:rPr>
        <w:t xml:space="preserve">11. Remarketing</w:t>
      </w:r>
    </w:p>
    <w:p>
      <w:pPr>
        <w:spacing w:after="140"/>
      </w:pPr>
      <w:r>
        <w:rPr>
          <w:rFonts w:ascii="Calibri" w:cs="Calibri" w:eastAsia="Calibri" w:hAnsi="Calibri"/>
          <w:color w:val="222222"/>
          <w:sz w:val="21"/>
          <w:szCs w:val="21"/>
        </w:rPr>
        <w:t xml:space="preserve">El remarketing se construye sobre las siguientes audiencias, en orden de calidez creciente:</w:t>
      </w:r>
    </w:p>
    <w:p>
      <w:pPr>
        <w:pStyle w:val="ListParagraph"/>
        <w:numPr>
          <w:ilvl w:val="0"/>
          <w:numId w:val="2"/>
        </w:numPr>
        <w:spacing w:after="90"/>
      </w:pPr>
      <w:r>
        <w:rPr>
          <w:rFonts w:ascii="Calibri" w:cs="Calibri" w:eastAsia="Calibri" w:hAnsi="Calibri"/>
          <w:color w:val="222222"/>
          <w:sz w:val="21"/>
          <w:szCs w:val="21"/>
        </w:rPr>
        <w:t xml:space="preserve">Personas que vieron los videos de la campaña</w:t>
      </w:r>
    </w:p>
    <w:p>
      <w:pPr>
        <w:pStyle w:val="ListParagraph"/>
        <w:numPr>
          <w:ilvl w:val="0"/>
          <w:numId w:val="2"/>
        </w:numPr>
        <w:spacing w:after="90"/>
      </w:pPr>
      <w:r>
        <w:rPr>
          <w:rFonts w:ascii="Calibri" w:cs="Calibri" w:eastAsia="Calibri" w:hAnsi="Calibri"/>
          <w:color w:val="222222"/>
          <w:sz w:val="21"/>
          <w:szCs w:val="21"/>
        </w:rPr>
        <w:t xml:space="preserve">Personas que interactuaron con los anuncios</w:t>
      </w:r>
    </w:p>
    <w:p>
      <w:pPr>
        <w:pStyle w:val="ListParagraph"/>
        <w:numPr>
          <w:ilvl w:val="0"/>
          <w:numId w:val="2"/>
        </w:numPr>
        <w:spacing w:after="90"/>
      </w:pPr>
      <w:r>
        <w:rPr>
          <w:rFonts w:ascii="Calibri" w:cs="Calibri" w:eastAsia="Calibri" w:hAnsi="Calibri"/>
          <w:color w:val="222222"/>
          <w:sz w:val="21"/>
          <w:szCs w:val="21"/>
        </w:rPr>
        <w:t xml:space="preserve">Personas que visitaron la landing page</w:t>
      </w:r>
    </w:p>
    <w:p>
      <w:pPr>
        <w:pStyle w:val="ListParagraph"/>
        <w:numPr>
          <w:ilvl w:val="0"/>
          <w:numId w:val="2"/>
        </w:numPr>
        <w:spacing w:after="90"/>
      </w:pPr>
      <w:r>
        <w:rPr>
          <w:rFonts w:ascii="Calibri" w:cs="Calibri" w:eastAsia="Calibri" w:hAnsi="Calibri"/>
          <w:color w:val="222222"/>
          <w:sz w:val="21"/>
          <w:szCs w:val="21"/>
        </w:rPr>
        <w:t xml:space="preserve">Personas que iniciaron el formulario sin completarlo</w:t>
      </w:r>
    </w:p>
    <w:p>
      <w:pPr>
        <w:pStyle w:val="ListParagraph"/>
        <w:numPr>
          <w:ilvl w:val="0"/>
          <w:numId w:val="2"/>
        </w:numPr>
        <w:spacing w:after="90"/>
      </w:pPr>
      <w:r>
        <w:rPr>
          <w:rFonts w:ascii="Calibri" w:cs="Calibri" w:eastAsia="Calibri" w:hAnsi="Calibri"/>
          <w:color w:val="222222"/>
          <w:sz w:val="21"/>
          <w:szCs w:val="21"/>
        </w:rPr>
        <w:t xml:space="preserve">Personas que enviaron el formulario</w:t>
      </w:r>
    </w:p>
    <w:p>
      <w:pPr>
        <w:pStyle w:val="ListParagraph"/>
        <w:numPr>
          <w:ilvl w:val="0"/>
          <w:numId w:val="2"/>
        </w:numPr>
        <w:spacing w:after="90"/>
      </w:pPr>
      <w:r>
        <w:rPr>
          <w:rFonts w:ascii="Calibri" w:cs="Calibri" w:eastAsia="Calibri" w:hAnsi="Calibri"/>
          <w:color w:val="222222"/>
          <w:sz w:val="21"/>
          <w:szCs w:val="21"/>
        </w:rPr>
        <w:t xml:space="preserve">Prospectos que ya fueron contactados por el equipo del propietario</w:t>
      </w:r>
    </w:p>
    <w:p>
      <w:pPr>
        <w:pStyle w:val="Heading2"/>
        <w:spacing w:after="140" w:before="280"/>
      </w:pPr>
      <w:r>
        <w:rPr>
          <w:rFonts w:ascii="Calibri" w:cs="Calibri" w:eastAsia="Calibri" w:hAnsi="Calibri"/>
          <w:b/>
          <w:bCs/>
          <w:color w:val="B08D57"/>
          <w:sz w:val="23"/>
          <w:szCs w:val="23"/>
        </w:rPr>
        <w:t xml:space="preserve">Evolución del mensaje</w:t>
      </w:r>
    </w:p>
    <w:p>
      <w:pPr>
        <w:spacing w:after="140"/>
      </w:pPr>
      <w:r>
        <w:rPr>
          <w:rFonts w:ascii="Calibri" w:cs="Calibri" w:eastAsia="Calibri" w:hAnsi="Calibri"/>
          <w:color w:val="222222"/>
          <w:sz w:val="21"/>
          <w:szCs w:val="21"/>
        </w:rPr>
        <w:t xml:space="preserve">El mensaje avanza progresivamente conforme el prospecto se acerca a la decisión:</w:t>
      </w:r>
    </w:p>
    <w:p>
      <w:pPr>
        <w:pStyle w:val="ListParagraph"/>
        <w:numPr>
          <w:ilvl w:val="0"/>
          <w:numId w:val="6"/>
        </w:numPr>
        <w:spacing w:after="110"/>
      </w:pPr>
      <w:r>
        <w:rPr>
          <w:rFonts w:ascii="Calibri" w:cs="Calibri" w:eastAsia="Calibri" w:hAnsi="Calibri"/>
          <w:color w:val="222222"/>
          <w:sz w:val="21"/>
          <w:szCs w:val="21"/>
        </w:rPr>
        <w:t xml:space="preserve">Conocer la oportunidad</w:t>
      </w:r>
    </w:p>
    <w:p>
      <w:pPr>
        <w:pStyle w:val="ListParagraph"/>
        <w:numPr>
          <w:ilvl w:val="0"/>
          <w:numId w:val="6"/>
        </w:numPr>
        <w:spacing w:after="110"/>
      </w:pPr>
      <w:r>
        <w:rPr>
          <w:rFonts w:ascii="Calibri" w:cs="Calibri" w:eastAsia="Calibri" w:hAnsi="Calibri"/>
          <w:color w:val="222222"/>
          <w:sz w:val="21"/>
          <w:szCs w:val="21"/>
        </w:rPr>
        <w:t xml:space="preserve">Conocer el activo</w:t>
      </w:r>
    </w:p>
    <w:p>
      <w:pPr>
        <w:pStyle w:val="ListParagraph"/>
        <w:numPr>
          <w:ilvl w:val="0"/>
          <w:numId w:val="6"/>
        </w:numPr>
        <w:spacing w:after="110"/>
      </w:pPr>
      <w:r>
        <w:rPr>
          <w:rFonts w:ascii="Calibri" w:cs="Calibri" w:eastAsia="Calibri" w:hAnsi="Calibri"/>
          <w:color w:val="222222"/>
          <w:sz w:val="21"/>
          <w:szCs w:val="21"/>
        </w:rPr>
        <w:t xml:space="preserve">Conocer el potencial económico</w:t>
      </w:r>
    </w:p>
    <w:p>
      <w:pPr>
        <w:pStyle w:val="ListParagraph"/>
        <w:numPr>
          <w:ilvl w:val="0"/>
          <w:numId w:val="6"/>
        </w:numPr>
        <w:spacing w:after="110"/>
      </w:pPr>
      <w:r>
        <w:rPr>
          <w:rFonts w:ascii="Calibri" w:cs="Calibri" w:eastAsia="Calibri" w:hAnsi="Calibri"/>
          <w:color w:val="222222"/>
          <w:sz w:val="21"/>
          <w:szCs w:val="21"/>
        </w:rPr>
        <w:t xml:space="preserve">Solicitar información</w:t>
      </w:r>
    </w:p>
    <w:p>
      <w:pPr>
        <w:pStyle w:val="ListParagraph"/>
        <w:numPr>
          <w:ilvl w:val="0"/>
          <w:numId w:val="6"/>
        </w:numPr>
        <w:spacing w:after="110"/>
      </w:pPr>
      <w:r>
        <w:rPr>
          <w:rFonts w:ascii="Calibri" w:cs="Calibri" w:eastAsia="Calibri" w:hAnsi="Calibri"/>
          <w:color w:val="222222"/>
          <w:sz w:val="21"/>
          <w:szCs w:val="21"/>
        </w:rPr>
        <w:t xml:space="preserve">Solicitar reunión</w:t>
      </w:r>
    </w:p>
    <w:p>
      <w:pPr>
        <w:pBdr>
          <w:bottom w:val="single" w:color="D9D6CF" w:sz="6"/>
        </w:pBdr>
        <w:spacing w:after="220" w:before="100"/>
      </w:pPr>
    </w:p>
    <w:p>
      <w:r>
        <w:br w:type="page"/>
      </w:r>
    </w:p>
    <w:p>
      <w:pPr>
        <w:pStyle w:val="Heading1"/>
        <w:spacing w:after="200" w:before="420"/>
      </w:pPr>
      <w:r>
        <w:rPr>
          <w:rFonts w:ascii="Cambria" w:cs="Cambria" w:eastAsia="Cambria" w:hAnsi="Cambria"/>
          <w:b/>
          <w:bCs/>
          <w:color w:val="1C1F26"/>
          <w:sz w:val="30"/>
          <w:szCs w:val="30"/>
        </w:rPr>
        <w:t xml:space="preserve">12. Plan de trabajo de 90 días</w:t>
      </w:r>
    </w:p>
    <w:p>
      <w:pPr>
        <w:pStyle w:val="Heading2"/>
        <w:spacing w:after="140" w:before="280"/>
      </w:pPr>
      <w:r>
        <w:rPr>
          <w:rFonts w:ascii="Calibri" w:cs="Calibri" w:eastAsia="Calibri" w:hAnsi="Calibri"/>
          <w:b/>
          <w:bCs/>
          <w:color w:val="B08D57"/>
          <w:sz w:val="23"/>
          <w:szCs w:val="23"/>
        </w:rPr>
        <w:t xml:space="preserve">Mes 1 — Investigación, estructuración y validación</w:t>
      </w:r>
    </w:p>
    <w:p>
      <w:pPr>
        <w:pStyle w:val="ListParagraph"/>
        <w:numPr>
          <w:ilvl w:val="0"/>
          <w:numId w:val="2"/>
        </w:numPr>
        <w:spacing w:after="90"/>
      </w:pPr>
      <w:r>
        <w:rPr>
          <w:rFonts w:ascii="Calibri" w:cs="Calibri" w:eastAsia="Calibri" w:hAnsi="Calibri"/>
          <w:color w:val="222222"/>
          <w:sz w:val="21"/>
          <w:szCs w:val="21"/>
        </w:rPr>
        <w:t xml:space="preserve">Recolección de información del activo con el propietario</w:t>
      </w:r>
    </w:p>
    <w:p>
      <w:pPr>
        <w:pStyle w:val="ListParagraph"/>
        <w:numPr>
          <w:ilvl w:val="0"/>
          <w:numId w:val="2"/>
        </w:numPr>
        <w:spacing w:after="90"/>
      </w:pPr>
      <w:r>
        <w:rPr>
          <w:rFonts w:ascii="Calibri" w:cs="Calibri" w:eastAsia="Calibri" w:hAnsi="Calibri"/>
          <w:color w:val="222222"/>
          <w:sz w:val="21"/>
          <w:szCs w:val="21"/>
        </w:rPr>
        <w:t xml:space="preserve">Investigación de mercado</w:t>
      </w:r>
    </w:p>
    <w:p>
      <w:pPr>
        <w:pStyle w:val="ListParagraph"/>
        <w:numPr>
          <w:ilvl w:val="0"/>
          <w:numId w:val="2"/>
        </w:numPr>
        <w:spacing w:after="90"/>
      </w:pPr>
      <w:r>
        <w:rPr>
          <w:rFonts w:ascii="Calibri" w:cs="Calibri" w:eastAsia="Calibri" w:hAnsi="Calibri"/>
          <w:color w:val="222222"/>
          <w:sz w:val="21"/>
          <w:szCs w:val="21"/>
        </w:rPr>
        <w:t xml:space="preserve">Definición inicial de buyer personas</w:t>
      </w:r>
    </w:p>
    <w:p>
      <w:pPr>
        <w:pStyle w:val="ListParagraph"/>
        <w:numPr>
          <w:ilvl w:val="0"/>
          <w:numId w:val="2"/>
        </w:numPr>
        <w:spacing w:after="90"/>
      </w:pPr>
      <w:r>
        <w:rPr>
          <w:rFonts w:ascii="Calibri" w:cs="Calibri" w:eastAsia="Calibri" w:hAnsi="Calibri"/>
          <w:color w:val="222222"/>
          <w:sz w:val="21"/>
          <w:szCs w:val="21"/>
        </w:rPr>
        <w:t xml:space="preserve">Definición de tesis de inversión a comunicar</w:t>
      </w:r>
    </w:p>
    <w:p>
      <w:pPr>
        <w:pStyle w:val="ListParagraph"/>
        <w:numPr>
          <w:ilvl w:val="0"/>
          <w:numId w:val="2"/>
        </w:numPr>
        <w:spacing w:after="90"/>
      </w:pPr>
      <w:r>
        <w:rPr>
          <w:rFonts w:ascii="Calibri" w:cs="Calibri" w:eastAsia="Calibri" w:hAnsi="Calibri"/>
          <w:color w:val="222222"/>
          <w:sz w:val="21"/>
          <w:szCs w:val="21"/>
        </w:rPr>
        <w:t xml:space="preserve">Preparación de la oferta y los materiales de campaña</w:t>
      </w:r>
    </w:p>
    <w:p>
      <w:pPr>
        <w:pStyle w:val="ListParagraph"/>
        <w:numPr>
          <w:ilvl w:val="0"/>
          <w:numId w:val="2"/>
        </w:numPr>
        <w:spacing w:after="90"/>
      </w:pPr>
      <w:r>
        <w:rPr>
          <w:rFonts w:ascii="Calibri" w:cs="Calibri" w:eastAsia="Calibri" w:hAnsi="Calibri"/>
          <w:color w:val="222222"/>
          <w:sz w:val="21"/>
          <w:szCs w:val="21"/>
        </w:rPr>
        <w:t xml:space="preserve">Preparación de landing page</w:t>
      </w:r>
    </w:p>
    <w:p>
      <w:pPr>
        <w:pStyle w:val="ListParagraph"/>
        <w:numPr>
          <w:ilvl w:val="0"/>
          <w:numId w:val="2"/>
        </w:numPr>
        <w:spacing w:after="90"/>
      </w:pPr>
      <w:r>
        <w:rPr>
          <w:rFonts w:ascii="Calibri" w:cs="Calibri" w:eastAsia="Calibri" w:hAnsi="Calibri"/>
          <w:color w:val="222222"/>
          <w:sz w:val="21"/>
          <w:szCs w:val="21"/>
        </w:rPr>
        <w:t xml:space="preserve">Preparación del formulario de calificación</w:t>
      </w:r>
    </w:p>
    <w:p>
      <w:pPr>
        <w:pStyle w:val="ListParagraph"/>
        <w:numPr>
          <w:ilvl w:val="0"/>
          <w:numId w:val="2"/>
        </w:numPr>
        <w:spacing w:after="90"/>
      </w:pPr>
      <w:r>
        <w:rPr>
          <w:rFonts w:ascii="Calibri" w:cs="Calibri" w:eastAsia="Calibri" w:hAnsi="Calibri"/>
          <w:color w:val="222222"/>
          <w:sz w:val="21"/>
          <w:szCs w:val="21"/>
        </w:rPr>
        <w:t xml:space="preserve">Configuración de medición y tracking</w:t>
      </w:r>
    </w:p>
    <w:p>
      <w:pPr>
        <w:pStyle w:val="ListParagraph"/>
        <w:numPr>
          <w:ilvl w:val="0"/>
          <w:numId w:val="2"/>
        </w:numPr>
        <w:spacing w:after="90"/>
      </w:pPr>
      <w:r>
        <w:rPr>
          <w:rFonts w:ascii="Calibri" w:cs="Calibri" w:eastAsia="Calibri" w:hAnsi="Calibri"/>
          <w:color w:val="222222"/>
          <w:sz w:val="21"/>
          <w:szCs w:val="21"/>
        </w:rPr>
        <w:t xml:space="preserve">Desarrollo de creativos iniciales</w:t>
      </w:r>
    </w:p>
    <w:p>
      <w:pPr>
        <w:pStyle w:val="ListParagraph"/>
        <w:numPr>
          <w:ilvl w:val="0"/>
          <w:numId w:val="2"/>
        </w:numPr>
        <w:spacing w:after="90"/>
      </w:pPr>
      <w:r>
        <w:rPr>
          <w:rFonts w:ascii="Calibri" w:cs="Calibri" w:eastAsia="Calibri" w:hAnsi="Calibri"/>
          <w:color w:val="222222"/>
          <w:sz w:val="21"/>
          <w:szCs w:val="21"/>
        </w:rPr>
        <w:t xml:space="preserve">Lanzamiento inicial de campañas</w:t>
      </w:r>
    </w:p>
    <w:p>
      <w:pPr>
        <w:pStyle w:val="ListParagraph"/>
        <w:numPr>
          <w:ilvl w:val="0"/>
          <w:numId w:val="2"/>
        </w:numPr>
        <w:spacing w:after="90"/>
      </w:pPr>
      <w:r>
        <w:rPr>
          <w:rFonts w:ascii="Calibri" w:cs="Calibri" w:eastAsia="Calibri" w:hAnsi="Calibri"/>
          <w:color w:val="222222"/>
          <w:sz w:val="21"/>
          <w:szCs w:val="21"/>
        </w:rPr>
        <w:t xml:space="preserve">Primeras pruebas de audiencias y mensajes</w:t>
      </w:r>
    </w:p>
    <w:p>
      <w:pPr>
        <w:pStyle w:val="Heading2"/>
        <w:spacing w:after="140" w:before="280"/>
      </w:pPr>
      <w:r>
        <w:rPr>
          <w:rFonts w:ascii="Calibri" w:cs="Calibri" w:eastAsia="Calibri" w:hAnsi="Calibri"/>
          <w:b/>
          <w:bCs/>
          <w:color w:val="B08D57"/>
          <w:sz w:val="23"/>
          <w:szCs w:val="23"/>
        </w:rPr>
        <w:t xml:space="preserve">Mes 2 — Adquisición, calificación y optimización</w:t>
      </w:r>
    </w:p>
    <w:p>
      <w:pPr>
        <w:pStyle w:val="ListParagraph"/>
        <w:numPr>
          <w:ilvl w:val="0"/>
          <w:numId w:val="2"/>
        </w:numPr>
        <w:spacing w:after="90"/>
      </w:pPr>
      <w:r>
        <w:rPr>
          <w:rFonts w:ascii="Calibri" w:cs="Calibri" w:eastAsia="Calibri" w:hAnsi="Calibri"/>
          <w:color w:val="222222"/>
          <w:sz w:val="21"/>
          <w:szCs w:val="21"/>
        </w:rPr>
        <w:t xml:space="preserve">Escalamiento de las campañas con mejor desempeño</w:t>
      </w:r>
    </w:p>
    <w:p>
      <w:pPr>
        <w:pStyle w:val="ListParagraph"/>
        <w:numPr>
          <w:ilvl w:val="0"/>
          <w:numId w:val="2"/>
        </w:numPr>
        <w:spacing w:after="90"/>
      </w:pPr>
      <w:r>
        <w:rPr>
          <w:rFonts w:ascii="Calibri" w:cs="Calibri" w:eastAsia="Calibri" w:hAnsi="Calibri"/>
          <w:color w:val="222222"/>
          <w:sz w:val="21"/>
          <w:szCs w:val="21"/>
        </w:rPr>
        <w:t xml:space="preserve">Nuevas pruebas creativas</w:t>
      </w:r>
    </w:p>
    <w:p>
      <w:pPr>
        <w:pStyle w:val="ListParagraph"/>
        <w:numPr>
          <w:ilvl w:val="0"/>
          <w:numId w:val="2"/>
        </w:numPr>
        <w:spacing w:after="90"/>
      </w:pPr>
      <w:r>
        <w:rPr>
          <w:rFonts w:ascii="Calibri" w:cs="Calibri" w:eastAsia="Calibri" w:hAnsi="Calibri"/>
          <w:color w:val="222222"/>
          <w:sz w:val="21"/>
          <w:szCs w:val="21"/>
        </w:rPr>
        <w:t xml:space="preserve">Optimización por calidad de prospecto, no solo por costo</w:t>
      </w:r>
    </w:p>
    <w:p>
      <w:pPr>
        <w:pStyle w:val="ListParagraph"/>
        <w:numPr>
          <w:ilvl w:val="0"/>
          <w:numId w:val="2"/>
        </w:numPr>
        <w:spacing w:after="90"/>
      </w:pPr>
      <w:r>
        <w:rPr>
          <w:rFonts w:ascii="Calibri" w:cs="Calibri" w:eastAsia="Calibri" w:hAnsi="Calibri"/>
          <w:color w:val="222222"/>
          <w:sz w:val="21"/>
          <w:szCs w:val="21"/>
        </w:rPr>
        <w:t xml:space="preserve">Construcción de audiencias de remarketing</w:t>
      </w:r>
    </w:p>
    <w:p>
      <w:pPr>
        <w:pStyle w:val="ListParagraph"/>
        <w:numPr>
          <w:ilvl w:val="0"/>
          <w:numId w:val="2"/>
        </w:numPr>
        <w:spacing w:after="90"/>
      </w:pPr>
      <w:r>
        <w:rPr>
          <w:rFonts w:ascii="Calibri" w:cs="Calibri" w:eastAsia="Calibri" w:hAnsi="Calibri"/>
          <w:color w:val="222222"/>
          <w:sz w:val="21"/>
          <w:szCs w:val="21"/>
        </w:rPr>
        <w:t xml:space="preserve">Activación de remarketing</w:t>
      </w:r>
    </w:p>
    <w:p>
      <w:pPr>
        <w:pStyle w:val="ListParagraph"/>
        <w:numPr>
          <w:ilvl w:val="0"/>
          <w:numId w:val="2"/>
        </w:numPr>
        <w:spacing w:after="90"/>
      </w:pPr>
      <w:r>
        <w:rPr>
          <w:rFonts w:ascii="Calibri" w:cs="Calibri" w:eastAsia="Calibri" w:hAnsi="Calibri"/>
          <w:color w:val="222222"/>
          <w:sz w:val="21"/>
          <w:szCs w:val="21"/>
        </w:rPr>
        <w:t xml:space="preserve">Evaluación de qué perfiles responden mejor</w:t>
      </w:r>
    </w:p>
    <w:p>
      <w:pPr>
        <w:pStyle w:val="ListParagraph"/>
        <w:numPr>
          <w:ilvl w:val="0"/>
          <w:numId w:val="2"/>
        </w:numPr>
        <w:spacing w:after="90"/>
      </w:pPr>
      <w:r>
        <w:rPr>
          <w:rFonts w:ascii="Calibri" w:cs="Calibri" w:eastAsia="Calibri" w:hAnsi="Calibri"/>
          <w:color w:val="222222"/>
          <w:sz w:val="21"/>
          <w:szCs w:val="21"/>
        </w:rPr>
        <w:t xml:space="preserve">Análisis de los prospectos recibidos</w:t>
      </w:r>
    </w:p>
    <w:p>
      <w:pPr>
        <w:pStyle w:val="ListParagraph"/>
        <w:numPr>
          <w:ilvl w:val="0"/>
          <w:numId w:val="2"/>
        </w:numPr>
        <w:spacing w:after="90"/>
      </w:pPr>
      <w:r>
        <w:rPr>
          <w:rFonts w:ascii="Calibri" w:cs="Calibri" w:eastAsia="Calibri" w:hAnsi="Calibri"/>
          <w:color w:val="222222"/>
          <w:sz w:val="21"/>
          <w:szCs w:val="21"/>
        </w:rPr>
        <w:t xml:space="preserve">Optimización del formulario de calificación</w:t>
      </w:r>
    </w:p>
    <w:p>
      <w:pPr>
        <w:pStyle w:val="ListParagraph"/>
        <w:numPr>
          <w:ilvl w:val="0"/>
          <w:numId w:val="2"/>
        </w:numPr>
        <w:spacing w:after="90"/>
      </w:pPr>
      <w:r>
        <w:rPr>
          <w:rFonts w:ascii="Calibri" w:cs="Calibri" w:eastAsia="Calibri" w:hAnsi="Calibri"/>
          <w:color w:val="222222"/>
          <w:sz w:val="21"/>
          <w:szCs w:val="21"/>
        </w:rPr>
        <w:t xml:space="preserve">Identificación de los segmentos de mayor calidad</w:t>
      </w:r>
    </w:p>
    <w:p>
      <w:pPr>
        <w:pStyle w:val="Heading2"/>
        <w:spacing w:after="140" w:before="280"/>
      </w:pPr>
      <w:r>
        <w:rPr>
          <w:rFonts w:ascii="Calibri" w:cs="Calibri" w:eastAsia="Calibri" w:hAnsi="Calibri"/>
          <w:b/>
          <w:bCs/>
          <w:color w:val="B08D57"/>
          <w:sz w:val="23"/>
          <w:szCs w:val="23"/>
        </w:rPr>
        <w:t xml:space="preserve">Mes 3 — Escalamiento, conversión y consolidación</w:t>
      </w:r>
    </w:p>
    <w:p>
      <w:pPr>
        <w:pStyle w:val="ListParagraph"/>
        <w:numPr>
          <w:ilvl w:val="0"/>
          <w:numId w:val="2"/>
        </w:numPr>
        <w:spacing w:after="90"/>
      </w:pPr>
      <w:r>
        <w:rPr>
          <w:rFonts w:ascii="Calibri" w:cs="Calibri" w:eastAsia="Calibri" w:hAnsi="Calibri"/>
          <w:color w:val="222222"/>
          <w:sz w:val="21"/>
          <w:szCs w:val="21"/>
        </w:rPr>
        <w:t xml:space="preserve">Escalamiento de los mejores conjuntos de anuncios y campañas</w:t>
      </w:r>
    </w:p>
    <w:p>
      <w:pPr>
        <w:pStyle w:val="ListParagraph"/>
        <w:numPr>
          <w:ilvl w:val="0"/>
          <w:numId w:val="2"/>
        </w:numPr>
        <w:spacing w:after="90"/>
      </w:pPr>
      <w:r>
        <w:rPr>
          <w:rFonts w:ascii="Calibri" w:cs="Calibri" w:eastAsia="Calibri" w:hAnsi="Calibri"/>
          <w:color w:val="222222"/>
          <w:sz w:val="21"/>
          <w:szCs w:val="21"/>
        </w:rPr>
        <w:t xml:space="preserve">Mayor inversión en los segmentos ganadores</w:t>
      </w:r>
    </w:p>
    <w:p>
      <w:pPr>
        <w:pStyle w:val="ListParagraph"/>
        <w:numPr>
          <w:ilvl w:val="0"/>
          <w:numId w:val="2"/>
        </w:numPr>
        <w:spacing w:after="90"/>
      </w:pPr>
      <w:r>
        <w:rPr>
          <w:rFonts w:ascii="Calibri" w:cs="Calibri" w:eastAsia="Calibri" w:hAnsi="Calibri"/>
          <w:color w:val="222222"/>
          <w:sz w:val="21"/>
          <w:szCs w:val="21"/>
        </w:rPr>
        <w:t xml:space="preserve">Remarketing avanzado</w:t>
      </w:r>
    </w:p>
    <w:p>
      <w:pPr>
        <w:pStyle w:val="ListParagraph"/>
        <w:numPr>
          <w:ilvl w:val="0"/>
          <w:numId w:val="2"/>
        </w:numPr>
        <w:spacing w:after="90"/>
      </w:pPr>
      <w:r>
        <w:rPr>
          <w:rFonts w:ascii="Calibri" w:cs="Calibri" w:eastAsia="Calibri" w:hAnsi="Calibri"/>
          <w:color w:val="222222"/>
          <w:sz w:val="21"/>
          <w:szCs w:val="21"/>
        </w:rPr>
        <w:t xml:space="preserve">Optimización continua del proceso de calificación</w:t>
      </w:r>
    </w:p>
    <w:p>
      <w:pPr>
        <w:pStyle w:val="ListParagraph"/>
        <w:numPr>
          <w:ilvl w:val="0"/>
          <w:numId w:val="2"/>
        </w:numPr>
        <w:spacing w:after="90"/>
      </w:pPr>
      <w:r>
        <w:rPr>
          <w:rFonts w:ascii="Calibri" w:cs="Calibri" w:eastAsia="Calibri" w:hAnsi="Calibri"/>
          <w:color w:val="222222"/>
          <w:sz w:val="21"/>
          <w:szCs w:val="21"/>
        </w:rPr>
        <w:t xml:space="preserve">Generación de reuniones para el equipo del propietario</w:t>
      </w:r>
    </w:p>
    <w:p>
      <w:pPr>
        <w:pStyle w:val="ListParagraph"/>
        <w:numPr>
          <w:ilvl w:val="0"/>
          <w:numId w:val="2"/>
        </w:numPr>
        <w:spacing w:after="90"/>
      </w:pPr>
      <w:r>
        <w:rPr>
          <w:rFonts w:ascii="Calibri" w:cs="Calibri" w:eastAsia="Calibri" w:hAnsi="Calibri"/>
          <w:color w:val="222222"/>
          <w:sz w:val="21"/>
          <w:szCs w:val="21"/>
        </w:rPr>
        <w:t xml:space="preserve">Análisis de las oportunidades comerciales generadas</w:t>
      </w:r>
    </w:p>
    <w:p>
      <w:pPr>
        <w:pStyle w:val="ListParagraph"/>
        <w:numPr>
          <w:ilvl w:val="0"/>
          <w:numId w:val="2"/>
        </w:numPr>
        <w:spacing w:after="90"/>
      </w:pPr>
      <w:r>
        <w:rPr>
          <w:rFonts w:ascii="Calibri" w:cs="Calibri" w:eastAsia="Calibri" w:hAnsi="Calibri"/>
          <w:color w:val="222222"/>
          <w:sz w:val="21"/>
          <w:szCs w:val="21"/>
        </w:rPr>
        <w:t xml:space="preserve">Identificación de los perfiles con mayor intención real</w:t>
      </w:r>
    </w:p>
    <w:p>
      <w:pPr>
        <w:pStyle w:val="ListParagraph"/>
        <w:numPr>
          <w:ilvl w:val="0"/>
          <w:numId w:val="2"/>
        </w:numPr>
        <w:spacing w:after="90"/>
      </w:pPr>
      <w:r>
        <w:rPr>
          <w:rFonts w:ascii="Calibri" w:cs="Calibri" w:eastAsia="Calibri" w:hAnsi="Calibri"/>
          <w:color w:val="222222"/>
          <w:sz w:val="21"/>
          <w:szCs w:val="21"/>
        </w:rPr>
        <w:t xml:space="preserve">Recomendaciones para continuar la gestión después de los 90 días</w:t>
      </w:r>
    </w:p>
    <w:p>
      <w:pPr>
        <w:pBdr>
          <w:bottom w:val="single" w:color="D9D6CF" w:sz="6"/>
        </w:pBdr>
        <w:spacing w:after="220" w:before="100"/>
      </w:pPr>
    </w:p>
    <w:p>
      <w:r>
        <w:br w:type="page"/>
      </w:r>
    </w:p>
    <w:p>
      <w:pPr>
        <w:pStyle w:val="Heading1"/>
        <w:spacing w:after="200" w:before="420"/>
      </w:pPr>
      <w:r>
        <w:rPr>
          <w:rFonts w:ascii="Cambria" w:cs="Cambria" w:eastAsia="Cambria" w:hAnsi="Cambria"/>
          <w:b/>
          <w:bCs/>
          <w:color w:val="1C1F26"/>
          <w:sz w:val="30"/>
          <w:szCs w:val="30"/>
        </w:rPr>
        <w:t xml:space="preserve">13. Cronograma de 12 semanas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2300"/>
        <w:gridCol w:w="2300"/>
        <w:gridCol w:w="1000"/>
      </w:tblGrid>
      <w:tr>
        <w:tc>
          <w:tcPr>
            <w:tcW w:type="dxa" w:w="700"/>
            <w:shd w:fill="1C1F26" w:val="clear"/>
            <w:tcMar>
              <w:top w:type="dxa" w:w="100"/>
              <w:left w:type="dxa" w:w="150"/>
              <w:bottom w:type="dxa" w:w="100"/>
              <w:right w:type="dxa" w:w="150"/>
            </w:tcMar>
            <w:vAlign w:val="top"/>
          </w:tcPr>
          <w:p>
            <w:r>
              <w:rPr>
                <w:rFonts w:ascii="Calibri" w:cs="Calibri" w:eastAsia="Calibri" w:hAnsi="Calibri"/>
                <w:b/>
                <w:bCs/>
                <w:color w:val="FFFFFF"/>
                <w:sz w:val="19"/>
                <w:szCs w:val="19"/>
              </w:rPr>
              <w:t xml:space="preserve">Semana</w:t>
            </w:r>
          </w:p>
        </w:tc>
        <w:tc>
          <w:tcPr>
            <w:tcW w:type="dxa" w:w="2900"/>
            <w:shd w:fill="1C1F26" w:val="clear"/>
            <w:tcMar>
              <w:top w:type="dxa" w:w="100"/>
              <w:left w:type="dxa" w:w="150"/>
              <w:bottom w:type="dxa" w:w="100"/>
              <w:right w:type="dxa" w:w="150"/>
            </w:tcMar>
            <w:vAlign w:val="top"/>
          </w:tcPr>
          <w:p>
            <w:r>
              <w:rPr>
                <w:rFonts w:ascii="Calibri" w:cs="Calibri" w:eastAsia="Calibri" w:hAnsi="Calibri"/>
                <w:b/>
                <w:bCs/>
                <w:color w:val="FFFFFF"/>
                <w:sz w:val="19"/>
                <w:szCs w:val="19"/>
              </w:rPr>
              <w:t xml:space="preserve">Actividad</w:t>
            </w:r>
          </w:p>
        </w:tc>
        <w:tc>
          <w:tcPr>
            <w:tcW w:type="dxa" w:w="2300"/>
            <w:shd w:fill="1C1F26" w:val="clear"/>
            <w:tcMar>
              <w:top w:type="dxa" w:w="100"/>
              <w:left w:type="dxa" w:w="150"/>
              <w:bottom w:type="dxa" w:w="100"/>
              <w:right w:type="dxa" w:w="150"/>
            </w:tcMar>
            <w:vAlign w:val="top"/>
          </w:tcPr>
          <w:p>
            <w:r>
              <w:rPr>
                <w:rFonts w:ascii="Calibri" w:cs="Calibri" w:eastAsia="Calibri" w:hAnsi="Calibri"/>
                <w:b/>
                <w:bCs/>
                <w:color w:val="FFFFFF"/>
                <w:sz w:val="19"/>
                <w:szCs w:val="19"/>
              </w:rPr>
              <w:t xml:space="preserve">Objetivo</w:t>
            </w:r>
          </w:p>
        </w:tc>
        <w:tc>
          <w:tcPr>
            <w:tcW w:type="dxa" w:w="2300"/>
            <w:shd w:fill="1C1F26" w:val="clear"/>
            <w:tcMar>
              <w:top w:type="dxa" w:w="100"/>
              <w:left w:type="dxa" w:w="150"/>
              <w:bottom w:type="dxa" w:w="100"/>
              <w:right w:type="dxa" w:w="150"/>
            </w:tcMar>
            <w:vAlign w:val="top"/>
          </w:tcPr>
          <w:p>
            <w:r>
              <w:rPr>
                <w:rFonts w:ascii="Calibri" w:cs="Calibri" w:eastAsia="Calibri" w:hAnsi="Calibri"/>
                <w:b/>
                <w:bCs/>
                <w:color w:val="FFFFFF"/>
                <w:sz w:val="19"/>
                <w:szCs w:val="19"/>
              </w:rPr>
              <w:t xml:space="preserve">Entregable</w:t>
            </w:r>
          </w:p>
        </w:tc>
        <w:tc>
          <w:tcPr>
            <w:tcW w:type="dxa" w:w="1000"/>
            <w:shd w:fill="1C1F26" w:val="clear"/>
            <w:tcMar>
              <w:top w:type="dxa" w:w="100"/>
              <w:left w:type="dxa" w:w="150"/>
              <w:bottom w:type="dxa" w:w="100"/>
              <w:right w:type="dxa" w:w="150"/>
            </w:tcMar>
            <w:vAlign w:val="top"/>
          </w:tcPr>
          <w:p>
            <w:r>
              <w:rPr>
                <w:rFonts w:ascii="Calibri" w:cs="Calibri" w:eastAsia="Calibri" w:hAnsi="Calibri"/>
                <w:b/>
                <w:bCs/>
                <w:color w:val="FFFFFF"/>
                <w:sz w:val="19"/>
                <w:szCs w:val="19"/>
              </w:rPr>
              <w:t xml:space="preserve">KPI</w:t>
            </w:r>
          </w:p>
        </w:tc>
      </w:tr>
      <w:tr>
        <w:tc>
          <w:tcPr>
            <w:tcW w:type="dxa" w:w="7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1</w:t>
            </w:r>
          </w:p>
        </w:tc>
        <w:tc>
          <w:tcPr>
            <w:tcW w:type="dxa" w:w="29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Recolección de información y briefing con el propietario</w:t>
            </w:r>
          </w:p>
        </w:tc>
        <w:tc>
          <w:tcPr>
            <w:tcW w:type="dxa" w:w="23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Levantar la información base del activo</w:t>
            </w:r>
          </w:p>
        </w:tc>
        <w:tc>
          <w:tcPr>
            <w:tcW w:type="dxa" w:w="23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Checklist de información completado</w:t>
            </w:r>
          </w:p>
        </w:tc>
        <w:tc>
          <w:tcPr>
            <w:tcW w:type="dxa" w:w="10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 de información crítica recibida</w:t>
            </w:r>
          </w:p>
        </w:tc>
      </w:tr>
      <w:tr>
        <w:tc>
          <w:tcPr>
            <w:tcW w:type="dxa" w:w="7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2</w:t>
            </w:r>
          </w:p>
        </w:tc>
        <w:tc>
          <w:tcPr>
            <w:tcW w:type="dxa" w:w="29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Investigación de mercado y definición de buyer personas y tesis</w:t>
            </w:r>
          </w:p>
        </w:tc>
        <w:tc>
          <w:tcPr>
            <w:tcW w:type="dxa" w:w="23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Establecer hipótesis de segmentación y mensaje</w:t>
            </w:r>
          </w:p>
        </w:tc>
        <w:tc>
          <w:tcPr>
            <w:tcW w:type="dxa" w:w="23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Documento de perfiles y tesis</w:t>
            </w:r>
          </w:p>
        </w:tc>
        <w:tc>
          <w:tcPr>
            <w:tcW w:type="dxa" w:w="10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Perfiles y tesis documentados</w:t>
            </w:r>
          </w:p>
        </w:tc>
      </w:tr>
      <w:tr>
        <w:tc>
          <w:tcPr>
            <w:tcW w:type="dxa" w:w="7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3</w:t>
            </w:r>
          </w:p>
        </w:tc>
        <w:tc>
          <w:tcPr>
            <w:tcW w:type="dxa" w:w="29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Preparación de landing, formulario y tracking</w:t>
            </w:r>
          </w:p>
        </w:tc>
        <w:tc>
          <w:tcPr>
            <w:tcW w:type="dxa" w:w="23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Tener lista la infraestructura digital</w:t>
            </w:r>
          </w:p>
        </w:tc>
        <w:tc>
          <w:tcPr>
            <w:tcW w:type="dxa" w:w="23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Landing y formulario publicados, medición activa</w:t>
            </w:r>
          </w:p>
        </w:tc>
        <w:tc>
          <w:tcPr>
            <w:tcW w:type="dxa" w:w="10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Landing funcional y medible</w:t>
            </w:r>
          </w:p>
        </w:tc>
      </w:tr>
      <w:tr>
        <w:tc>
          <w:tcPr>
            <w:tcW w:type="dxa" w:w="7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4</w:t>
            </w:r>
          </w:p>
        </w:tc>
        <w:tc>
          <w:tcPr>
            <w:tcW w:type="dxa" w:w="29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Desarrollo de creativos y lanzamiento inicial</w:t>
            </w:r>
          </w:p>
        </w:tc>
        <w:tc>
          <w:tcPr>
            <w:tcW w:type="dxa" w:w="23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Iniciar pruebas de ángulos y audiencias</w:t>
            </w:r>
          </w:p>
        </w:tc>
        <w:tc>
          <w:tcPr>
            <w:tcW w:type="dxa" w:w="23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Primeras campañas activas</w:t>
            </w:r>
          </w:p>
        </w:tc>
        <w:tc>
          <w:tcPr>
            <w:tcW w:type="dxa" w:w="10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CTR y CPC iniciales</w:t>
            </w:r>
          </w:p>
        </w:tc>
      </w:tr>
      <w:tr>
        <w:tc>
          <w:tcPr>
            <w:tcW w:type="dxa" w:w="7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5</w:t>
            </w:r>
          </w:p>
        </w:tc>
        <w:tc>
          <w:tcPr>
            <w:tcW w:type="dxa" w:w="29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Pruebas de audiencias y mensajes</w:t>
            </w:r>
          </w:p>
        </w:tc>
        <w:tc>
          <w:tcPr>
            <w:tcW w:type="dxa" w:w="23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Identificar señales iniciales de desempeño</w:t>
            </w:r>
          </w:p>
        </w:tc>
        <w:tc>
          <w:tcPr>
            <w:tcW w:type="dxa" w:w="23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Primer reporte de resultados</w:t>
            </w:r>
          </w:p>
        </w:tc>
        <w:tc>
          <w:tcPr>
            <w:tcW w:type="dxa" w:w="10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CTR, CPC, primeros leads</w:t>
            </w:r>
          </w:p>
        </w:tc>
      </w:tr>
      <w:tr>
        <w:tc>
          <w:tcPr>
            <w:tcW w:type="dxa" w:w="7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6</w:t>
            </w:r>
          </w:p>
        </w:tc>
        <w:tc>
          <w:tcPr>
            <w:tcW w:type="dxa" w:w="29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Análisis de primeros leads y ajuste de formulario</w:t>
            </w:r>
          </w:p>
        </w:tc>
        <w:tc>
          <w:tcPr>
            <w:tcW w:type="dxa" w:w="23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Mejorar la tasa de calificación</w:t>
            </w:r>
          </w:p>
        </w:tc>
        <w:tc>
          <w:tcPr>
            <w:tcW w:type="dxa" w:w="23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Formulario optimizado</w:t>
            </w:r>
          </w:p>
        </w:tc>
        <w:tc>
          <w:tcPr>
            <w:tcW w:type="dxa" w:w="10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 de leads calificados</w:t>
            </w:r>
          </w:p>
        </w:tc>
      </w:tr>
      <w:tr>
        <w:tc>
          <w:tcPr>
            <w:tcW w:type="dxa" w:w="7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7</w:t>
            </w:r>
          </w:p>
        </w:tc>
        <w:tc>
          <w:tcPr>
            <w:tcW w:type="dxa" w:w="29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Escalamiento de campañas y audiencias ganadoras</w:t>
            </w:r>
          </w:p>
        </w:tc>
        <w:tc>
          <w:tcPr>
            <w:tcW w:type="dxa" w:w="23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Aumentar el volumen de leads calificados</w:t>
            </w:r>
          </w:p>
        </w:tc>
        <w:tc>
          <w:tcPr>
            <w:tcW w:type="dxa" w:w="23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Presupuesto reasignado</w:t>
            </w:r>
          </w:p>
        </w:tc>
        <w:tc>
          <w:tcPr>
            <w:tcW w:type="dxa" w:w="10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Costo por lead calificado</w:t>
            </w:r>
          </w:p>
        </w:tc>
      </w:tr>
      <w:tr>
        <w:tc>
          <w:tcPr>
            <w:tcW w:type="dxa" w:w="7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8</w:t>
            </w:r>
          </w:p>
        </w:tc>
        <w:tc>
          <w:tcPr>
            <w:tcW w:type="dxa" w:w="29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Activación de remarketing</w:t>
            </w:r>
          </w:p>
        </w:tc>
        <w:tc>
          <w:tcPr>
            <w:tcW w:type="dxa" w:w="23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Reimpactar a quienes mostraron interés sin calificar</w:t>
            </w:r>
          </w:p>
        </w:tc>
        <w:tc>
          <w:tcPr>
            <w:tcW w:type="dxa" w:w="23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Campañas de remarketing activas</w:t>
            </w:r>
          </w:p>
        </w:tc>
        <w:tc>
          <w:tcPr>
            <w:tcW w:type="dxa" w:w="10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Leads adicionales de remarketing</w:t>
            </w:r>
          </w:p>
        </w:tc>
      </w:tr>
      <w:tr>
        <w:tc>
          <w:tcPr>
            <w:tcW w:type="dxa" w:w="7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9</w:t>
            </w:r>
          </w:p>
        </w:tc>
        <w:tc>
          <w:tcPr>
            <w:tcW w:type="dxa" w:w="29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Nuevas pruebas creativas y de ángulos</w:t>
            </w:r>
          </w:p>
        </w:tc>
        <w:tc>
          <w:tcPr>
            <w:tcW w:type="dxa" w:w="23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Evitar fatiga publicitaria y mejorar calidad</w:t>
            </w:r>
          </w:p>
        </w:tc>
        <w:tc>
          <w:tcPr>
            <w:tcW w:type="dxa" w:w="23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Nuevos creativos en prueba</w:t>
            </w:r>
          </w:p>
        </w:tc>
        <w:tc>
          <w:tcPr>
            <w:tcW w:type="dxa" w:w="10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CTR, frecuencia, calidad del lead</w:t>
            </w:r>
          </w:p>
        </w:tc>
      </w:tr>
      <w:tr>
        <w:tc>
          <w:tcPr>
            <w:tcW w:type="dxa" w:w="7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10</w:t>
            </w:r>
          </w:p>
        </w:tc>
        <w:tc>
          <w:tcPr>
            <w:tcW w:type="dxa" w:w="29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Análisis de perfiles de mayor calidad y ajuste de segmentación</w:t>
            </w:r>
          </w:p>
        </w:tc>
        <w:tc>
          <w:tcPr>
            <w:tcW w:type="dxa" w:w="23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Concentrar inversión en segmentos prometedores</w:t>
            </w:r>
          </w:p>
        </w:tc>
        <w:tc>
          <w:tcPr>
            <w:tcW w:type="dxa" w:w="23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Reporte de segmentos ganadores</w:t>
            </w:r>
          </w:p>
        </w:tc>
        <w:tc>
          <w:tcPr>
            <w:tcW w:type="dxa" w:w="10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 leads calificados por segmento</w:t>
            </w:r>
          </w:p>
        </w:tc>
      </w:tr>
      <w:tr>
        <w:tc>
          <w:tcPr>
            <w:tcW w:type="dxa" w:w="7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11</w:t>
            </w:r>
          </w:p>
        </w:tc>
        <w:tc>
          <w:tcPr>
            <w:tcW w:type="dxa" w:w="29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Escalamiento final de presupuesto en las mejores campañas</w:t>
            </w:r>
          </w:p>
        </w:tc>
        <w:tc>
          <w:tcPr>
            <w:tcW w:type="dxa" w:w="23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Maximizar la entrega de oportunidades comerciales</w:t>
            </w:r>
          </w:p>
        </w:tc>
        <w:tc>
          <w:tcPr>
            <w:tcW w:type="dxa" w:w="23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Campañas escaladas</w:t>
            </w:r>
          </w:p>
        </w:tc>
        <w:tc>
          <w:tcPr>
            <w:tcW w:type="dxa" w:w="1000"/>
            <w:shd w:fill="FFFFFF"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Número de reuniones solicitadas</w:t>
            </w:r>
          </w:p>
        </w:tc>
      </w:tr>
      <w:tr>
        <w:tc>
          <w:tcPr>
            <w:tcW w:type="dxa" w:w="7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12</w:t>
            </w:r>
          </w:p>
        </w:tc>
        <w:tc>
          <w:tcPr>
            <w:tcW w:type="dxa" w:w="29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Consolidación de resultados y recomendaciones</w:t>
            </w:r>
          </w:p>
        </w:tc>
        <w:tc>
          <w:tcPr>
            <w:tcW w:type="dxa" w:w="23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Cerrar el ciclo de 90 días con un balance claro</w:t>
            </w:r>
          </w:p>
        </w:tc>
        <w:tc>
          <w:tcPr>
            <w:tcW w:type="dxa" w:w="23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Informe final y recomendaciones</w:t>
            </w:r>
          </w:p>
        </w:tc>
        <w:tc>
          <w:tcPr>
            <w:tcW w:type="dxa" w:w="1000"/>
            <w:shd w:fill="F4F3F1" w:val="clear"/>
            <w:tcMar>
              <w:top w:type="dxa" w:w="100"/>
              <w:left w:type="dxa" w:w="150"/>
              <w:bottom w:type="dxa" w:w="100"/>
              <w:right w:type="dxa" w:w="150"/>
            </w:tcMar>
            <w:vAlign w:val="top"/>
          </w:tcPr>
          <w:p>
            <w:r>
              <w:rPr>
                <w:rFonts w:ascii="Calibri" w:cs="Calibri" w:eastAsia="Calibri" w:hAnsi="Calibri"/>
                <w:b w:val="false"/>
                <w:bCs w:val="false"/>
                <w:color w:val="222222"/>
                <w:sz w:val="19"/>
                <w:szCs w:val="19"/>
              </w:rPr>
              <w:t xml:space="preserve">Oportunidades comerciales generadas</w:t>
            </w:r>
          </w:p>
        </w:tc>
      </w:tr>
    </w:tbl>
    <w:p>
      <w:pPr>
        <w:pBdr>
          <w:bottom w:val="single" w:color="D9D6CF" w:sz="6"/>
        </w:pBdr>
        <w:spacing w:after="220" w:before="100"/>
      </w:pPr>
    </w:p>
    <w:p>
      <w:pPr>
        <w:pStyle w:val="Heading1"/>
        <w:spacing w:after="200" w:before="420"/>
      </w:pPr>
      <w:r>
        <w:rPr>
          <w:rFonts w:ascii="Cambria" w:cs="Cambria" w:eastAsia="Cambria" w:hAnsi="Cambria"/>
          <w:b/>
          <w:bCs/>
          <w:color w:val="1C1F26"/>
          <w:sz w:val="30"/>
          <w:szCs w:val="30"/>
        </w:rPr>
        <w:t xml:space="preserve">14. KPIs</w:t>
      </w:r>
    </w:p>
    <w:p>
      <w:pPr>
        <w:spacing w:after="140"/>
      </w:pPr>
      <w:r>
        <w:rPr>
          <w:rFonts w:ascii="Calibri" w:cs="Calibri" w:eastAsia="Calibri" w:hAnsi="Calibri"/>
          <w:color w:val="222222"/>
          <w:sz w:val="21"/>
          <w:szCs w:val="21"/>
        </w:rPr>
        <w:t xml:space="preserve">El KPI más importante de este proyecto es la calidad del prospecto, no el volumen. Un solo prospecto calificado, con capacidad real, vale más que cientos de leads baratos sin intención genuina. Las métricas se agrupan en dos niveles:</w:t>
      </w:r>
    </w:p>
    <w:p>
      <w:pPr>
        <w:pStyle w:val="Heading2"/>
        <w:spacing w:after="140" w:before="280"/>
      </w:pPr>
      <w:r>
        <w:rPr>
          <w:rFonts w:ascii="Calibri" w:cs="Calibri" w:eastAsia="Calibri" w:hAnsi="Calibri"/>
          <w:b/>
          <w:bCs/>
          <w:color w:val="B08D57"/>
          <w:sz w:val="23"/>
          <w:szCs w:val="23"/>
        </w:rPr>
        <w:t xml:space="preserve">Métricas de eficiencia de campaña</w:t>
      </w:r>
    </w:p>
    <w:p>
      <w:pPr>
        <w:pStyle w:val="ListParagraph"/>
        <w:numPr>
          <w:ilvl w:val="0"/>
          <w:numId w:val="2"/>
        </w:numPr>
        <w:spacing w:after="90"/>
      </w:pPr>
      <w:r>
        <w:rPr>
          <w:rFonts w:ascii="Calibri" w:cs="Calibri" w:eastAsia="Calibri" w:hAnsi="Calibri"/>
          <w:color w:val="222222"/>
          <w:sz w:val="21"/>
          <w:szCs w:val="21"/>
        </w:rPr>
        <w:t xml:space="preserve">Inversión publicitaria</w:t>
      </w:r>
    </w:p>
    <w:p>
      <w:pPr>
        <w:pStyle w:val="ListParagraph"/>
        <w:numPr>
          <w:ilvl w:val="0"/>
          <w:numId w:val="2"/>
        </w:numPr>
        <w:spacing w:after="90"/>
      </w:pPr>
      <w:r>
        <w:rPr>
          <w:rFonts w:ascii="Calibri" w:cs="Calibri" w:eastAsia="Calibri" w:hAnsi="Calibri"/>
          <w:color w:val="222222"/>
          <w:sz w:val="21"/>
          <w:szCs w:val="21"/>
        </w:rPr>
        <w:t xml:space="preserve">Alcance</w:t>
      </w:r>
    </w:p>
    <w:p>
      <w:pPr>
        <w:pStyle w:val="ListParagraph"/>
        <w:numPr>
          <w:ilvl w:val="0"/>
          <w:numId w:val="2"/>
        </w:numPr>
        <w:spacing w:after="90"/>
      </w:pPr>
      <w:r>
        <w:rPr>
          <w:rFonts w:ascii="Calibri" w:cs="Calibri" w:eastAsia="Calibri" w:hAnsi="Calibri"/>
          <w:color w:val="222222"/>
          <w:sz w:val="21"/>
          <w:szCs w:val="21"/>
        </w:rPr>
        <w:t xml:space="preserve">CTR (tasa de clics)</w:t>
      </w:r>
    </w:p>
    <w:p>
      <w:pPr>
        <w:pStyle w:val="ListParagraph"/>
        <w:numPr>
          <w:ilvl w:val="0"/>
          <w:numId w:val="2"/>
        </w:numPr>
        <w:spacing w:after="90"/>
      </w:pPr>
      <w:r>
        <w:rPr>
          <w:rFonts w:ascii="Calibri" w:cs="Calibri" w:eastAsia="Calibri" w:hAnsi="Calibri"/>
          <w:color w:val="222222"/>
          <w:sz w:val="21"/>
          <w:szCs w:val="21"/>
        </w:rPr>
        <w:t xml:space="preserve">CPC (costo por clic)</w:t>
      </w:r>
    </w:p>
    <w:p>
      <w:pPr>
        <w:pStyle w:val="ListParagraph"/>
        <w:numPr>
          <w:ilvl w:val="0"/>
          <w:numId w:val="2"/>
        </w:numPr>
        <w:spacing w:after="90"/>
      </w:pPr>
      <w:r>
        <w:rPr>
          <w:rFonts w:ascii="Calibri" w:cs="Calibri" w:eastAsia="Calibri" w:hAnsi="Calibri"/>
          <w:color w:val="222222"/>
          <w:sz w:val="21"/>
          <w:szCs w:val="21"/>
        </w:rPr>
        <w:t xml:space="preserve">Leads</w:t>
      </w:r>
    </w:p>
    <w:p>
      <w:pPr>
        <w:pStyle w:val="ListParagraph"/>
        <w:numPr>
          <w:ilvl w:val="0"/>
          <w:numId w:val="2"/>
        </w:numPr>
        <w:spacing w:after="90"/>
      </w:pPr>
      <w:r>
        <w:rPr>
          <w:rFonts w:ascii="Calibri" w:cs="Calibri" w:eastAsia="Calibri" w:hAnsi="Calibri"/>
          <w:color w:val="222222"/>
          <w:sz w:val="21"/>
          <w:szCs w:val="21"/>
        </w:rPr>
        <w:t xml:space="preserve">CPL (costo por lead)</w:t>
      </w:r>
    </w:p>
    <w:p>
      <w:pPr>
        <w:pStyle w:val="Heading2"/>
        <w:spacing w:after="140" w:before="280"/>
      </w:pPr>
      <w:r>
        <w:rPr>
          <w:rFonts w:ascii="Calibri" w:cs="Calibri" w:eastAsia="Calibri" w:hAnsi="Calibri"/>
          <w:b/>
          <w:bCs/>
          <w:color w:val="B08D57"/>
          <w:sz w:val="23"/>
          <w:szCs w:val="23"/>
        </w:rPr>
        <w:t xml:space="preserve">Métricas de calidad y resultado comercial</w:t>
      </w:r>
    </w:p>
    <w:p>
      <w:pPr>
        <w:pStyle w:val="ListParagraph"/>
        <w:numPr>
          <w:ilvl w:val="0"/>
          <w:numId w:val="2"/>
        </w:numPr>
        <w:spacing w:after="90"/>
      </w:pPr>
      <w:r>
        <w:rPr>
          <w:rFonts w:ascii="Calibri" w:cs="Calibri" w:eastAsia="Calibri" w:hAnsi="Calibri"/>
          <w:color w:val="222222"/>
          <w:sz w:val="21"/>
          <w:szCs w:val="21"/>
        </w:rPr>
        <w:t xml:space="preserve">Porcentaje de leads calificados</w:t>
      </w:r>
    </w:p>
    <w:p>
      <w:pPr>
        <w:pStyle w:val="ListParagraph"/>
        <w:numPr>
          <w:ilvl w:val="0"/>
          <w:numId w:val="2"/>
        </w:numPr>
        <w:spacing w:after="90"/>
      </w:pPr>
      <w:r>
        <w:rPr>
          <w:rFonts w:ascii="Calibri" w:cs="Calibri" w:eastAsia="Calibri" w:hAnsi="Calibri"/>
          <w:color w:val="222222"/>
          <w:sz w:val="21"/>
          <w:szCs w:val="21"/>
        </w:rPr>
        <w:t xml:space="preserve">Costo por lead calificado</w:t>
      </w:r>
    </w:p>
    <w:p>
      <w:pPr>
        <w:pStyle w:val="ListParagraph"/>
        <w:numPr>
          <w:ilvl w:val="0"/>
          <w:numId w:val="2"/>
        </w:numPr>
        <w:spacing w:after="90"/>
      </w:pPr>
      <w:r>
        <w:rPr>
          <w:rFonts w:ascii="Calibri" w:cs="Calibri" w:eastAsia="Calibri" w:hAnsi="Calibri"/>
          <w:color w:val="222222"/>
          <w:sz w:val="21"/>
          <w:szCs w:val="21"/>
        </w:rPr>
        <w:t xml:space="preserve">Número de prospectos calificados</w:t>
      </w:r>
    </w:p>
    <w:p>
      <w:pPr>
        <w:pStyle w:val="ListParagraph"/>
        <w:numPr>
          <w:ilvl w:val="0"/>
          <w:numId w:val="2"/>
        </w:numPr>
        <w:spacing w:after="90"/>
      </w:pPr>
      <w:r>
        <w:rPr>
          <w:rFonts w:ascii="Calibri" w:cs="Calibri" w:eastAsia="Calibri" w:hAnsi="Calibri"/>
          <w:color w:val="222222"/>
          <w:sz w:val="21"/>
          <w:szCs w:val="21"/>
        </w:rPr>
        <w:t xml:space="preserve">Número de reuniones solicitadas</w:t>
      </w:r>
    </w:p>
    <w:p>
      <w:pPr>
        <w:pStyle w:val="ListParagraph"/>
        <w:numPr>
          <w:ilvl w:val="0"/>
          <w:numId w:val="2"/>
        </w:numPr>
        <w:spacing w:after="90"/>
      </w:pPr>
      <w:r>
        <w:rPr>
          <w:rFonts w:ascii="Calibri" w:cs="Calibri" w:eastAsia="Calibri" w:hAnsi="Calibri"/>
          <w:color w:val="222222"/>
          <w:sz w:val="21"/>
          <w:szCs w:val="21"/>
        </w:rPr>
        <w:t xml:space="preserve">Número de reuniones realizadas</w:t>
      </w:r>
    </w:p>
    <w:p>
      <w:pPr>
        <w:pStyle w:val="ListParagraph"/>
        <w:numPr>
          <w:ilvl w:val="0"/>
          <w:numId w:val="2"/>
        </w:numPr>
        <w:spacing w:after="90"/>
      </w:pPr>
      <w:r>
        <w:rPr>
          <w:rFonts w:ascii="Calibri" w:cs="Calibri" w:eastAsia="Calibri" w:hAnsi="Calibri"/>
          <w:color w:val="222222"/>
          <w:sz w:val="21"/>
          <w:szCs w:val="21"/>
        </w:rPr>
        <w:t xml:space="preserve">Prospectos en negociación</w:t>
      </w:r>
    </w:p>
    <w:p>
      <w:pPr>
        <w:pStyle w:val="ListParagraph"/>
        <w:numPr>
          <w:ilvl w:val="0"/>
          <w:numId w:val="2"/>
        </w:numPr>
        <w:spacing w:after="90"/>
      </w:pPr>
      <w:r>
        <w:rPr>
          <w:rFonts w:ascii="Calibri" w:cs="Calibri" w:eastAsia="Calibri" w:hAnsi="Calibri"/>
          <w:color w:val="222222"/>
          <w:sz w:val="21"/>
          <w:szCs w:val="21"/>
        </w:rPr>
        <w:t xml:space="preserve">Ofertas recibidas</w:t>
      </w:r>
    </w:p>
    <w:p>
      <w:pPr>
        <w:pStyle w:val="ListParagraph"/>
        <w:numPr>
          <w:ilvl w:val="0"/>
          <w:numId w:val="2"/>
        </w:numPr>
        <w:spacing w:after="90"/>
      </w:pPr>
      <w:r>
        <w:rPr>
          <w:rFonts w:ascii="Calibri" w:cs="Calibri" w:eastAsia="Calibri" w:hAnsi="Calibri"/>
          <w:color w:val="222222"/>
          <w:sz w:val="21"/>
          <w:szCs w:val="21"/>
        </w:rPr>
        <w:t xml:space="preserve">Oportunidades comerciales generadas</w:t>
      </w:r>
    </w:p>
    <w:p>
      <w:pPr>
        <w:pBdr>
          <w:bottom w:val="single" w:color="D9D6CF" w:sz="6"/>
        </w:pBdr>
        <w:spacing w:after="220" w:before="100"/>
      </w:pPr>
    </w:p>
    <w:p>
      <w:pPr>
        <w:pStyle w:val="Heading1"/>
        <w:spacing w:after="200" w:before="420"/>
      </w:pPr>
      <w:r>
        <w:rPr>
          <w:rFonts w:ascii="Cambria" w:cs="Cambria" w:eastAsia="Cambria" w:hAnsi="Cambria"/>
          <w:b/>
          <w:bCs/>
          <w:color w:val="1C1F26"/>
          <w:sz w:val="30"/>
          <w:szCs w:val="30"/>
        </w:rPr>
        <w:t xml:space="preserve">15. Alcance de la gestión de marketing</w:t>
      </w:r>
    </w:p>
    <w:p>
      <w:pPr>
        <w:spacing w:after="140"/>
      </w:pPr>
      <w:r>
        <w:rPr>
          <w:rFonts w:ascii="Calibri" w:cs="Calibri" w:eastAsia="Calibri" w:hAnsi="Calibri"/>
          <w:color w:val="222222"/>
          <w:sz w:val="21"/>
          <w:szCs w:val="21"/>
        </w:rPr>
        <w:t xml:space="preserve">Mi responsabilidad como encargado de Meta Ads y generación de demanda incluye:</w:t>
      </w:r>
    </w:p>
    <w:p>
      <w:pPr>
        <w:pStyle w:val="ListParagraph"/>
        <w:numPr>
          <w:ilvl w:val="0"/>
          <w:numId w:val="2"/>
        </w:numPr>
        <w:spacing w:after="90"/>
      </w:pPr>
      <w:r>
        <w:rPr>
          <w:rFonts w:ascii="Calibri" w:cs="Calibri" w:eastAsia="Calibri" w:hAnsi="Calibri"/>
          <w:color w:val="222222"/>
          <w:sz w:val="21"/>
          <w:szCs w:val="21"/>
        </w:rPr>
        <w:t xml:space="preserve">Diseño de la estrategia de adquisición digital</w:t>
      </w:r>
    </w:p>
    <w:p>
      <w:pPr>
        <w:pStyle w:val="ListParagraph"/>
        <w:numPr>
          <w:ilvl w:val="0"/>
          <w:numId w:val="2"/>
        </w:numPr>
        <w:spacing w:after="90"/>
      </w:pPr>
      <w:r>
        <w:rPr>
          <w:rFonts w:ascii="Calibri" w:cs="Calibri" w:eastAsia="Calibri" w:hAnsi="Calibri"/>
          <w:color w:val="222222"/>
          <w:sz w:val="21"/>
          <w:szCs w:val="21"/>
        </w:rPr>
        <w:t xml:space="preserve">Definición de perfiles de compradores potenciales</w:t>
      </w:r>
    </w:p>
    <w:p>
      <w:pPr>
        <w:pStyle w:val="ListParagraph"/>
        <w:numPr>
          <w:ilvl w:val="0"/>
          <w:numId w:val="2"/>
        </w:numPr>
        <w:spacing w:after="90"/>
      </w:pPr>
      <w:r>
        <w:rPr>
          <w:rFonts w:ascii="Calibri" w:cs="Calibri" w:eastAsia="Calibri" w:hAnsi="Calibri"/>
          <w:color w:val="222222"/>
          <w:sz w:val="21"/>
          <w:szCs w:val="21"/>
        </w:rPr>
        <w:t xml:space="preserve">Creación y prueba de ángulos de comunicación</w:t>
      </w:r>
    </w:p>
    <w:p>
      <w:pPr>
        <w:pStyle w:val="ListParagraph"/>
        <w:numPr>
          <w:ilvl w:val="0"/>
          <w:numId w:val="2"/>
        </w:numPr>
        <w:spacing w:after="90"/>
      </w:pPr>
      <w:r>
        <w:rPr>
          <w:rFonts w:ascii="Calibri" w:cs="Calibri" w:eastAsia="Calibri" w:hAnsi="Calibri"/>
          <w:color w:val="222222"/>
          <w:sz w:val="21"/>
          <w:szCs w:val="21"/>
        </w:rPr>
        <w:t xml:space="preserve">Creación de campañas de Meta Ads</w:t>
      </w:r>
    </w:p>
    <w:p>
      <w:pPr>
        <w:pStyle w:val="ListParagraph"/>
        <w:numPr>
          <w:ilvl w:val="0"/>
          <w:numId w:val="2"/>
        </w:numPr>
        <w:spacing w:after="90"/>
      </w:pPr>
      <w:r>
        <w:rPr>
          <w:rFonts w:ascii="Calibri" w:cs="Calibri" w:eastAsia="Calibri" w:hAnsi="Calibri"/>
          <w:color w:val="222222"/>
          <w:sz w:val="21"/>
          <w:szCs w:val="21"/>
        </w:rPr>
        <w:t xml:space="preserve">Generación de demanda y captación de prospectos</w:t>
      </w:r>
    </w:p>
    <w:p>
      <w:pPr>
        <w:pStyle w:val="ListParagraph"/>
        <w:numPr>
          <w:ilvl w:val="0"/>
          <w:numId w:val="2"/>
        </w:numPr>
        <w:spacing w:after="90"/>
      </w:pPr>
      <w:r>
        <w:rPr>
          <w:rFonts w:ascii="Calibri" w:cs="Calibri" w:eastAsia="Calibri" w:hAnsi="Calibri"/>
          <w:color w:val="222222"/>
          <w:sz w:val="21"/>
          <w:szCs w:val="21"/>
        </w:rPr>
        <w:t xml:space="preserve">Calificación de prospectos mediante formularios y landing page</w:t>
      </w:r>
    </w:p>
    <w:p>
      <w:pPr>
        <w:pStyle w:val="ListParagraph"/>
        <w:numPr>
          <w:ilvl w:val="0"/>
          <w:numId w:val="2"/>
        </w:numPr>
        <w:spacing w:after="90"/>
      </w:pPr>
      <w:r>
        <w:rPr>
          <w:rFonts w:ascii="Calibri" w:cs="Calibri" w:eastAsia="Calibri" w:hAnsi="Calibri"/>
          <w:color w:val="222222"/>
          <w:sz w:val="21"/>
          <w:szCs w:val="21"/>
        </w:rPr>
        <w:t xml:space="preserve">Identificación de los perfiles con mayor intención y capacidad</w:t>
      </w:r>
    </w:p>
    <w:p>
      <w:pPr>
        <w:pStyle w:val="ListParagraph"/>
        <w:numPr>
          <w:ilvl w:val="0"/>
          <w:numId w:val="2"/>
        </w:numPr>
        <w:spacing w:after="90"/>
      </w:pPr>
      <w:r>
        <w:rPr>
          <w:rFonts w:ascii="Calibri" w:cs="Calibri" w:eastAsia="Calibri" w:hAnsi="Calibri"/>
          <w:color w:val="222222"/>
          <w:sz w:val="21"/>
          <w:szCs w:val="21"/>
        </w:rPr>
        <w:t xml:space="preserve">Entrega de oportunidades comerciales al equipo del propietario</w:t>
      </w:r>
    </w:p>
    <w:p>
      <w:pPr>
        <w:pStyle w:val="ListParagraph"/>
        <w:numPr>
          <w:ilvl w:val="0"/>
          <w:numId w:val="2"/>
        </w:numPr>
        <w:spacing w:after="90"/>
      </w:pPr>
      <w:r>
        <w:rPr>
          <w:rFonts w:ascii="Calibri" w:cs="Calibri" w:eastAsia="Calibri" w:hAnsi="Calibri"/>
          <w:color w:val="222222"/>
          <w:sz w:val="21"/>
          <w:szCs w:val="21"/>
        </w:rPr>
        <w:t xml:space="preserve">Optimización continua de campañas según la calidad del prospecto</w:t>
      </w:r>
    </w:p>
    <w:p>
      <w:pPr>
        <w:pStyle w:val="ListParagraph"/>
        <w:numPr>
          <w:ilvl w:val="0"/>
          <w:numId w:val="2"/>
        </w:numPr>
        <w:spacing w:after="90"/>
      </w:pPr>
      <w:r>
        <w:rPr>
          <w:rFonts w:ascii="Calibri" w:cs="Calibri" w:eastAsia="Calibri" w:hAnsi="Calibri"/>
          <w:color w:val="222222"/>
          <w:sz w:val="21"/>
          <w:szCs w:val="21"/>
        </w:rPr>
        <w:t xml:space="preserve">Sistemas de remarketing para quienes interactúen con la oferta</w:t>
      </w:r>
    </w:p>
    <w:p>
      <w:pPr>
        <w:pStyle w:val="ListParagraph"/>
        <w:numPr>
          <w:ilvl w:val="0"/>
          <w:numId w:val="2"/>
        </w:numPr>
        <w:spacing w:after="90"/>
      </w:pPr>
      <w:r>
        <w:rPr>
          <w:rFonts w:ascii="Calibri" w:cs="Calibri" w:eastAsia="Calibri" w:hAnsi="Calibri"/>
          <w:color w:val="222222"/>
          <w:sz w:val="21"/>
          <w:szCs w:val="21"/>
        </w:rPr>
        <w:t xml:space="preserve">Creativos publicitarios, en coordinación con el material disponible del propietario</w:t>
      </w:r>
    </w:p>
    <w:p>
      <w:pPr>
        <w:pStyle w:val="ListParagraph"/>
        <w:numPr>
          <w:ilvl w:val="0"/>
          <w:numId w:val="2"/>
        </w:numPr>
        <w:spacing w:after="90"/>
      </w:pPr>
      <w:r>
        <w:rPr>
          <w:rFonts w:ascii="Calibri" w:cs="Calibri" w:eastAsia="Calibri" w:hAnsi="Calibri"/>
          <w:color w:val="222222"/>
          <w:sz w:val="21"/>
          <w:szCs w:val="21"/>
        </w:rPr>
        <w:t xml:space="preserve">Reportes periódicos de desempeño y recomendaciones estratégicas</w:t>
      </w:r>
    </w:p>
    <w:p>
      <w:pPr>
        <w:spacing w:after="140"/>
      </w:pPr>
      <w:r>
        <w:rPr>
          <w:rFonts w:ascii="Calibri" w:cs="Calibri" w:eastAsia="Calibri" w:hAnsi="Calibri"/>
          <w:color w:val="222222"/>
          <w:sz w:val="21"/>
          <w:szCs w:val="21"/>
        </w:rPr>
        <w:t xml:space="preserve">No actúo como corredor inmobiliario ni como responsable del cierre de la venta. Mi gestión no garantiza una venta dentro de un periodo específico.</w:t>
      </w:r>
    </w:p>
    <w:p>
      <w:pPr>
        <w:pStyle w:val="Heading1"/>
        <w:spacing w:after="200" w:before="420"/>
      </w:pPr>
      <w:r>
        <w:rPr>
          <w:rFonts w:ascii="Cambria" w:cs="Cambria" w:eastAsia="Cambria" w:hAnsi="Cambria"/>
          <w:b/>
          <w:bCs/>
          <w:color w:val="1C1F26"/>
          <w:sz w:val="30"/>
          <w:szCs w:val="30"/>
        </w:rPr>
        <w:t xml:space="preserve">16. Responsabilidades del propietario / equipo comercial</w:t>
      </w:r>
    </w:p>
    <w:p>
      <w:pPr>
        <w:spacing w:after="140"/>
      </w:pPr>
      <w:r>
        <w:rPr>
          <w:rFonts w:ascii="Calibri" w:cs="Calibri" w:eastAsia="Calibri" w:hAnsi="Calibri"/>
          <w:color w:val="222222"/>
          <w:sz w:val="21"/>
          <w:szCs w:val="21"/>
        </w:rPr>
        <w:t xml:space="preserve">El propietario y su equipo comercial son responsables de:</w:t>
      </w:r>
    </w:p>
    <w:p>
      <w:pPr>
        <w:pStyle w:val="ListParagraph"/>
        <w:numPr>
          <w:ilvl w:val="0"/>
          <w:numId w:val="2"/>
        </w:numPr>
        <w:spacing w:after="90"/>
      </w:pPr>
      <w:r>
        <w:rPr>
          <w:rFonts w:ascii="Calibri" w:cs="Calibri" w:eastAsia="Calibri" w:hAnsi="Calibri"/>
          <w:color w:val="222222"/>
          <w:sz w:val="21"/>
          <w:szCs w:val="21"/>
        </w:rPr>
        <w:t xml:space="preserve">Contactar a los prospectos calificados</w:t>
      </w:r>
    </w:p>
    <w:p>
      <w:pPr>
        <w:pStyle w:val="ListParagraph"/>
        <w:numPr>
          <w:ilvl w:val="0"/>
          <w:numId w:val="2"/>
        </w:numPr>
        <w:spacing w:after="90"/>
      </w:pPr>
      <w:r>
        <w:rPr>
          <w:rFonts w:ascii="Calibri" w:cs="Calibri" w:eastAsia="Calibri" w:hAnsi="Calibri"/>
          <w:color w:val="222222"/>
          <w:sz w:val="21"/>
          <w:szCs w:val="21"/>
        </w:rPr>
        <w:t xml:space="preserve">Gestionar las conversaciones y el seguimiento</w:t>
      </w:r>
    </w:p>
    <w:p>
      <w:pPr>
        <w:pStyle w:val="ListParagraph"/>
        <w:numPr>
          <w:ilvl w:val="0"/>
          <w:numId w:val="2"/>
        </w:numPr>
        <w:spacing w:after="90"/>
      </w:pPr>
      <w:r>
        <w:rPr>
          <w:rFonts w:ascii="Calibri" w:cs="Calibri" w:eastAsia="Calibri" w:hAnsi="Calibri"/>
          <w:color w:val="222222"/>
          <w:sz w:val="21"/>
          <w:szCs w:val="21"/>
        </w:rPr>
        <w:t xml:space="preserve">Realizar reuniones (Zoom, presenciales o por el medio que se determine)</w:t>
      </w:r>
    </w:p>
    <w:p>
      <w:pPr>
        <w:pStyle w:val="ListParagraph"/>
        <w:numPr>
          <w:ilvl w:val="0"/>
          <w:numId w:val="2"/>
        </w:numPr>
        <w:spacing w:after="90"/>
      </w:pPr>
      <w:r>
        <w:rPr>
          <w:rFonts w:ascii="Calibri" w:cs="Calibri" w:eastAsia="Calibri" w:hAnsi="Calibri"/>
          <w:color w:val="222222"/>
          <w:sz w:val="21"/>
          <w:szCs w:val="21"/>
        </w:rPr>
        <w:t xml:space="preserve">Presentar el activo en detalle</w:t>
      </w:r>
    </w:p>
    <w:p>
      <w:pPr>
        <w:pStyle w:val="ListParagraph"/>
        <w:numPr>
          <w:ilvl w:val="0"/>
          <w:numId w:val="2"/>
        </w:numPr>
        <w:spacing w:after="90"/>
      </w:pPr>
      <w:r>
        <w:rPr>
          <w:rFonts w:ascii="Calibri" w:cs="Calibri" w:eastAsia="Calibri" w:hAnsi="Calibri"/>
          <w:color w:val="222222"/>
          <w:sz w:val="21"/>
          <w:szCs w:val="21"/>
        </w:rPr>
        <w:t xml:space="preserve">Entregar documentación financiera, jurídica y técnica</w:t>
      </w:r>
    </w:p>
    <w:p>
      <w:pPr>
        <w:pStyle w:val="ListParagraph"/>
        <w:numPr>
          <w:ilvl w:val="0"/>
          <w:numId w:val="2"/>
        </w:numPr>
        <w:spacing w:after="90"/>
      </w:pPr>
      <w:r>
        <w:rPr>
          <w:rFonts w:ascii="Calibri" w:cs="Calibri" w:eastAsia="Calibri" w:hAnsi="Calibri"/>
          <w:color w:val="222222"/>
          <w:sz w:val="21"/>
          <w:szCs w:val="21"/>
        </w:rPr>
        <w:t xml:space="preserve">Resolver dudas de los interesados</w:t>
      </w:r>
    </w:p>
    <w:p>
      <w:pPr>
        <w:pStyle w:val="ListParagraph"/>
        <w:numPr>
          <w:ilvl w:val="0"/>
          <w:numId w:val="2"/>
        </w:numPr>
        <w:spacing w:after="90"/>
      </w:pPr>
      <w:r>
        <w:rPr>
          <w:rFonts w:ascii="Calibri" w:cs="Calibri" w:eastAsia="Calibri" w:hAnsi="Calibri"/>
          <w:color w:val="222222"/>
          <w:sz w:val="21"/>
          <w:szCs w:val="21"/>
        </w:rPr>
        <w:t xml:space="preserve">Gestionar visitas al edificio</w:t>
      </w:r>
    </w:p>
    <w:p>
      <w:pPr>
        <w:pStyle w:val="ListParagraph"/>
        <w:numPr>
          <w:ilvl w:val="0"/>
          <w:numId w:val="2"/>
        </w:numPr>
        <w:spacing w:after="90"/>
      </w:pPr>
      <w:r>
        <w:rPr>
          <w:rFonts w:ascii="Calibri" w:cs="Calibri" w:eastAsia="Calibri" w:hAnsi="Calibri"/>
          <w:color w:val="222222"/>
          <w:sz w:val="21"/>
          <w:szCs w:val="21"/>
        </w:rPr>
        <w:t xml:space="preserve">Realizar y acompañar el proceso de due diligence</w:t>
      </w:r>
    </w:p>
    <w:p>
      <w:pPr>
        <w:pStyle w:val="ListParagraph"/>
        <w:numPr>
          <w:ilvl w:val="0"/>
          <w:numId w:val="2"/>
        </w:numPr>
        <w:spacing w:after="90"/>
      </w:pPr>
      <w:r>
        <w:rPr>
          <w:rFonts w:ascii="Calibri" w:cs="Calibri" w:eastAsia="Calibri" w:hAnsi="Calibri"/>
          <w:color w:val="222222"/>
          <w:sz w:val="21"/>
          <w:szCs w:val="21"/>
        </w:rPr>
        <w:t xml:space="preserve">Negociar condiciones y recibir ofertas</w:t>
      </w:r>
    </w:p>
    <w:p>
      <w:pPr>
        <w:pStyle w:val="ListParagraph"/>
        <w:numPr>
          <w:ilvl w:val="0"/>
          <w:numId w:val="2"/>
        </w:numPr>
        <w:spacing w:after="90"/>
      </w:pPr>
      <w:r>
        <w:rPr>
          <w:rFonts w:ascii="Calibri" w:cs="Calibri" w:eastAsia="Calibri" w:hAnsi="Calibri"/>
          <w:color w:val="222222"/>
          <w:sz w:val="21"/>
          <w:szCs w:val="21"/>
        </w:rPr>
        <w:t xml:space="preserve">Gestionar el proceso legal de la operación</w:t>
      </w:r>
    </w:p>
    <w:p>
      <w:pPr>
        <w:pStyle w:val="ListParagraph"/>
        <w:numPr>
          <w:ilvl w:val="0"/>
          <w:numId w:val="2"/>
        </w:numPr>
        <w:spacing w:after="90"/>
      </w:pPr>
      <w:r>
        <w:rPr>
          <w:rFonts w:ascii="Calibri" w:cs="Calibri" w:eastAsia="Calibri" w:hAnsi="Calibri"/>
          <w:color w:val="222222"/>
          <w:sz w:val="21"/>
          <w:szCs w:val="21"/>
        </w:rPr>
        <w:t xml:space="preserve">Cerrar la venta</w:t>
      </w:r>
    </w:p>
    <w:p>
      <w:pPr>
        <w:pBdr>
          <w:bottom w:val="single" w:color="D9D6CF" w:sz="6"/>
        </w:pBdr>
        <w:spacing w:after="220" w:before="100"/>
      </w:pPr>
    </w:p>
    <w:p>
      <w:pPr>
        <w:pStyle w:val="Heading1"/>
        <w:spacing w:after="200" w:before="420"/>
      </w:pPr>
      <w:r>
        <w:rPr>
          <w:rFonts w:ascii="Cambria" w:cs="Cambria" w:eastAsia="Cambria" w:hAnsi="Cambria"/>
          <w:b/>
          <w:bCs/>
          <w:color w:val="1C1F26"/>
          <w:sz w:val="30"/>
          <w:szCs w:val="30"/>
        </w:rPr>
        <w:t xml:space="preserve">17. Criterios de evaluación y optimización</w:t>
      </w:r>
    </w:p>
    <w:p>
      <w:pPr>
        <w:spacing w:after="140"/>
      </w:pPr>
      <w:r>
        <w:rPr>
          <w:rFonts w:ascii="Calibri" w:cs="Calibri" w:eastAsia="Calibri" w:hAnsi="Calibri"/>
          <w:color w:val="222222"/>
          <w:sz w:val="21"/>
          <w:szCs w:val="21"/>
        </w:rPr>
        <w:t xml:space="preserve">El desempeño de la campaña se evalúa cada dos semanas, combinando métricas de eficiencia con métricas de calidad. Las decisiones de optimización siguen esta lógica:</w:t>
      </w:r>
    </w:p>
    <w:p>
      <w:pPr>
        <w:pStyle w:val="ListParagraph"/>
        <w:numPr>
          <w:ilvl w:val="0"/>
          <w:numId w:val="2"/>
        </w:numPr>
        <w:spacing w:after="90"/>
      </w:pPr>
      <w:r>
        <w:rPr>
          <w:rFonts w:ascii="Calibri" w:cs="Calibri" w:eastAsia="Calibri" w:hAnsi="Calibri"/>
          <w:color w:val="222222"/>
          <w:sz w:val="21"/>
          <w:szCs w:val="21"/>
        </w:rPr>
        <w:t xml:space="preserve">Un anuncio con buen CTR pero baja tasa de calificación se ajusta o se pausa, aunque su CPL sea bajo</w:t>
      </w:r>
    </w:p>
    <w:p>
      <w:pPr>
        <w:pStyle w:val="ListParagraph"/>
        <w:numPr>
          <w:ilvl w:val="0"/>
          <w:numId w:val="2"/>
        </w:numPr>
        <w:spacing w:after="90"/>
      </w:pPr>
      <w:r>
        <w:rPr>
          <w:rFonts w:ascii="Calibri" w:cs="Calibri" w:eastAsia="Calibri" w:hAnsi="Calibri"/>
          <w:color w:val="222222"/>
          <w:sz w:val="21"/>
          <w:szCs w:val="21"/>
        </w:rPr>
        <w:t xml:space="preserve">Un segmento con pocos leads pero alta tasa de calificación recibe más presupuesto, aunque su CPL sea más alto</w:t>
      </w:r>
    </w:p>
    <w:p>
      <w:pPr>
        <w:pStyle w:val="ListParagraph"/>
        <w:numPr>
          <w:ilvl w:val="0"/>
          <w:numId w:val="2"/>
        </w:numPr>
        <w:spacing w:after="90"/>
      </w:pPr>
      <w:r>
        <w:rPr>
          <w:rFonts w:ascii="Calibri" w:cs="Calibri" w:eastAsia="Calibri" w:hAnsi="Calibri"/>
          <w:color w:val="222222"/>
          <w:sz w:val="21"/>
          <w:szCs w:val="21"/>
        </w:rPr>
        <w:t xml:space="preserve">Los ángulos y audiencias se comparan entre sí por porcentaje de leads calificados y no solo por volumen</w:t>
      </w:r>
    </w:p>
    <w:p>
      <w:pPr>
        <w:pStyle w:val="ListParagraph"/>
        <w:numPr>
          <w:ilvl w:val="0"/>
          <w:numId w:val="2"/>
        </w:numPr>
        <w:spacing w:after="90"/>
      </w:pPr>
      <w:r>
        <w:rPr>
          <w:rFonts w:ascii="Calibri" w:cs="Calibri" w:eastAsia="Calibri" w:hAnsi="Calibri"/>
          <w:color w:val="222222"/>
          <w:sz w:val="21"/>
          <w:szCs w:val="21"/>
        </w:rPr>
        <w:t xml:space="preserve">El formulario se ajusta progresivamente si se detecta que ciertas preguntas generan abandono sin mejorar la calidad del filtro</w:t>
      </w:r>
    </w:p>
    <w:p>
      <w:pPr>
        <w:pStyle w:val="ListParagraph"/>
        <w:numPr>
          <w:ilvl w:val="0"/>
          <w:numId w:val="2"/>
        </w:numPr>
        <w:spacing w:after="90"/>
      </w:pPr>
      <w:r>
        <w:rPr>
          <w:rFonts w:ascii="Calibri" w:cs="Calibri" w:eastAsia="Calibri" w:hAnsi="Calibri"/>
          <w:color w:val="222222"/>
          <w:sz w:val="21"/>
          <w:szCs w:val="21"/>
        </w:rPr>
        <w:t xml:space="preserve">Las decisiones de escalamiento se toman sobre datos acumulados de al menos dos semanas, para evitar decisiones prematuras</w:t>
      </w:r>
    </w:p>
    <w:p>
      <w:pPr>
        <w:pBdr>
          <w:bottom w:val="single" w:color="D9D6CF" w:sz="6"/>
        </w:pBdr>
        <w:spacing w:after="220" w:before="100"/>
      </w:pPr>
    </w:p>
    <w:p>
      <w:pPr>
        <w:pStyle w:val="Heading1"/>
        <w:spacing w:after="200" w:before="420"/>
      </w:pPr>
      <w:r>
        <w:rPr>
          <w:rFonts w:ascii="Cambria" w:cs="Cambria" w:eastAsia="Cambria" w:hAnsi="Cambria"/>
          <w:b/>
          <w:bCs/>
          <w:color w:val="1C1F26"/>
          <w:sz w:val="30"/>
          <w:szCs w:val="30"/>
        </w:rPr>
        <w:t xml:space="preserve">18. Consideraciones importantes y limitaciones</w:t>
      </w:r>
    </w:p>
    <w:p>
      <w:pPr>
        <w:pStyle w:val="ListParagraph"/>
        <w:numPr>
          <w:ilvl w:val="0"/>
          <w:numId w:val="2"/>
        </w:numPr>
        <w:spacing w:after="90"/>
      </w:pPr>
      <w:r>
        <w:rPr>
          <w:rFonts w:ascii="Calibri" w:cs="Calibri" w:eastAsia="Calibri" w:hAnsi="Calibri"/>
          <w:color w:val="222222"/>
          <w:sz w:val="21"/>
          <w:szCs w:val="21"/>
        </w:rPr>
        <w:t xml:space="preserve">Este plan no garantiza la venta del edificio dentro de los 90 días; el objetivo es construir y validar el sistema de generación de demanda.</w:t>
      </w:r>
    </w:p>
    <w:p>
      <w:pPr>
        <w:pStyle w:val="ListParagraph"/>
        <w:numPr>
          <w:ilvl w:val="0"/>
          <w:numId w:val="2"/>
        </w:numPr>
        <w:spacing w:after="90"/>
      </w:pPr>
      <w:r>
        <w:rPr>
          <w:rFonts w:ascii="Calibri" w:cs="Calibri" w:eastAsia="Calibri" w:hAnsi="Calibri"/>
          <w:color w:val="222222"/>
          <w:sz w:val="21"/>
          <w:szCs w:val="21"/>
        </w:rPr>
        <w:t xml:space="preserve">El cierre de la venta depende de factores externos al marketing: capacidad financiera del comprador, negociación, due diligence, documentación, financiación, condiciones de mercado y decisión del propietario.</w:t>
      </w:r>
    </w:p>
    <w:p>
      <w:pPr>
        <w:pStyle w:val="ListParagraph"/>
        <w:numPr>
          <w:ilvl w:val="0"/>
          <w:numId w:val="2"/>
        </w:numPr>
        <w:spacing w:after="90"/>
      </w:pPr>
      <w:r>
        <w:rPr>
          <w:rFonts w:ascii="Calibri" w:cs="Calibri" w:eastAsia="Calibri" w:hAnsi="Calibri"/>
          <w:color w:val="222222"/>
          <w:sz w:val="21"/>
          <w:szCs w:val="21"/>
        </w:rPr>
        <w:t xml:space="preserve">Meta Ads no puede identificar directamente la capacidad financiera de una persona; toda calificación se infiere mediante creativos, formularios y comportamiento, no mediante segmentación directa.</w:t>
      </w:r>
    </w:p>
    <w:p>
      <w:pPr>
        <w:pStyle w:val="ListParagraph"/>
        <w:numPr>
          <w:ilvl w:val="0"/>
          <w:numId w:val="2"/>
        </w:numPr>
        <w:spacing w:after="90"/>
      </w:pPr>
      <w:r>
        <w:rPr>
          <w:rFonts w:ascii="Calibri" w:cs="Calibri" w:eastAsia="Calibri" w:hAnsi="Calibri"/>
          <w:color w:val="222222"/>
          <w:sz w:val="21"/>
          <w:szCs w:val="21"/>
        </w:rPr>
        <w:t xml:space="preserve">Toda cifra financiera comunicada en campaña es bruta y aproximada, sujeta a validación documental; no se afirmarán rentabilidades netas.</w:t>
      </w:r>
    </w:p>
    <w:p>
      <w:pPr>
        <w:pStyle w:val="ListParagraph"/>
        <w:numPr>
          <w:ilvl w:val="0"/>
          <w:numId w:val="2"/>
        </w:numPr>
        <w:spacing w:after="90"/>
      </w:pPr>
      <w:r>
        <w:rPr>
          <w:rFonts w:ascii="Calibri" w:cs="Calibri" w:eastAsia="Calibri" w:hAnsi="Calibri"/>
          <w:color w:val="222222"/>
          <w:sz w:val="21"/>
          <w:szCs w:val="21"/>
        </w:rPr>
        <w:t xml:space="preserve">Cualquier uso alternativo del inmueble (reconversión, desarrollo, cambio de modelo operativo) está sujeto a estudio jurídico, urbanístico y normativo independiente, fuera del alcance de esta gestión.</w:t>
      </w:r>
    </w:p>
    <w:p>
      <w:pPr>
        <w:pStyle w:val="ListParagraph"/>
        <w:numPr>
          <w:ilvl w:val="0"/>
          <w:numId w:val="2"/>
        </w:numPr>
        <w:spacing w:after="90"/>
      </w:pPr>
      <w:r>
        <w:rPr>
          <w:rFonts w:ascii="Calibri" w:cs="Calibri" w:eastAsia="Calibri" w:hAnsi="Calibri"/>
          <w:color w:val="222222"/>
          <w:sz w:val="21"/>
          <w:szCs w:val="21"/>
        </w:rPr>
        <w:t xml:space="preserve">La situación jurídica y societaria del inmueble debe estar resuelta o claramente documentada por el propietario y su abogado en paralelo a la campaña, ya que puede afectar la etapa de negociación y cierre.</w:t>
      </w:r>
    </w:p>
    <w:p>
      <w:pPr>
        <w:pStyle w:val="ListParagraph"/>
        <w:numPr>
          <w:ilvl w:val="0"/>
          <w:numId w:val="2"/>
        </w:numPr>
        <w:spacing w:after="90"/>
      </w:pPr>
      <w:r>
        <w:rPr>
          <w:rFonts w:ascii="Calibri" w:cs="Calibri" w:eastAsia="Calibri" w:hAnsi="Calibri"/>
          <w:color w:val="222222"/>
          <w:sz w:val="21"/>
          <w:szCs w:val="21"/>
        </w:rPr>
        <w:t xml:space="preserve">Este documento no incluye información no proporcionada por el propietario (ubicación exacta, área, número de habitaciones, ocupación, rentabilidad neta, permisos, valoración); dicha información se marca como "por validar" en la sección correspondiente.</w:t>
      </w:r>
    </w:p>
    <w:p>
      <w:pPr>
        <w:pBdr>
          <w:bottom w:val="single" w:color="D9D6CF" w:sz="6"/>
        </w:pBdr>
        <w:spacing w:after="220" w:before="100"/>
      </w:pPr>
    </w:p>
    <w:p>
      <w:pPr>
        <w:pStyle w:val="Heading1"/>
        <w:spacing w:after="200" w:before="420"/>
      </w:pPr>
      <w:r>
        <w:rPr>
          <w:rFonts w:ascii="Cambria" w:cs="Cambria" w:eastAsia="Cambria" w:hAnsi="Cambria"/>
          <w:b/>
          <w:bCs/>
          <w:color w:val="1C1F26"/>
          <w:sz w:val="30"/>
          <w:szCs w:val="30"/>
        </w:rPr>
        <w:t xml:space="preserve">19. Próximos pasos</w:t>
      </w:r>
    </w:p>
    <w:p>
      <w:pPr>
        <w:pStyle w:val="ListParagraph"/>
        <w:numPr>
          <w:ilvl w:val="0"/>
          <w:numId w:val="7"/>
        </w:numPr>
        <w:spacing w:after="110"/>
      </w:pPr>
      <w:r>
        <w:rPr>
          <w:rFonts w:ascii="Calibri" w:cs="Calibri" w:eastAsia="Calibri" w:hAnsi="Calibri"/>
          <w:color w:val="222222"/>
          <w:sz w:val="21"/>
          <w:szCs w:val="21"/>
        </w:rPr>
        <w:t xml:space="preserve">Recopilar la información pendiente de validar (ver sección 20, Información requerida para iniciar)</w:t>
      </w:r>
    </w:p>
    <w:p>
      <w:pPr>
        <w:pStyle w:val="ListParagraph"/>
        <w:numPr>
          <w:ilvl w:val="0"/>
          <w:numId w:val="7"/>
        </w:numPr>
        <w:spacing w:after="110"/>
      </w:pPr>
      <w:r>
        <w:rPr>
          <w:rFonts w:ascii="Calibri" w:cs="Calibri" w:eastAsia="Calibri" w:hAnsi="Calibri"/>
          <w:color w:val="222222"/>
          <w:sz w:val="21"/>
          <w:szCs w:val="21"/>
        </w:rPr>
        <w:t xml:space="preserve">Definir con el propietario la modalidad o modalidades de venta a comunicar (con/sin muebles, con/sin operación)</w:t>
      </w:r>
    </w:p>
    <w:p>
      <w:pPr>
        <w:pStyle w:val="ListParagraph"/>
        <w:numPr>
          <w:ilvl w:val="0"/>
          <w:numId w:val="7"/>
        </w:numPr>
        <w:spacing w:after="110"/>
      </w:pPr>
      <w:r>
        <w:rPr>
          <w:rFonts w:ascii="Calibri" w:cs="Calibri" w:eastAsia="Calibri" w:hAnsi="Calibri"/>
          <w:color w:val="222222"/>
          <w:sz w:val="21"/>
          <w:szCs w:val="21"/>
        </w:rPr>
        <w:t xml:space="preserve">Preparar landing page, formulario de calificación y creativos iniciales</w:t>
      </w:r>
    </w:p>
    <w:p>
      <w:pPr>
        <w:pStyle w:val="ListParagraph"/>
        <w:numPr>
          <w:ilvl w:val="0"/>
          <w:numId w:val="7"/>
        </w:numPr>
        <w:spacing w:after="110"/>
      </w:pPr>
      <w:r>
        <w:rPr>
          <w:rFonts w:ascii="Calibri" w:cs="Calibri" w:eastAsia="Calibri" w:hAnsi="Calibri"/>
          <w:color w:val="222222"/>
          <w:sz w:val="21"/>
          <w:szCs w:val="21"/>
        </w:rPr>
        <w:t xml:space="preserve">Configurar la medición y el tracking de campañas</w:t>
      </w:r>
    </w:p>
    <w:p>
      <w:pPr>
        <w:pStyle w:val="ListParagraph"/>
        <w:numPr>
          <w:ilvl w:val="0"/>
          <w:numId w:val="7"/>
        </w:numPr>
        <w:spacing w:after="110"/>
      </w:pPr>
      <w:r>
        <w:rPr>
          <w:rFonts w:ascii="Calibri" w:cs="Calibri" w:eastAsia="Calibri" w:hAnsi="Calibri"/>
          <w:color w:val="222222"/>
          <w:sz w:val="21"/>
          <w:szCs w:val="21"/>
        </w:rPr>
        <w:t xml:space="preserve">Lanzar la campaña inicial de prospección en Meta Ads</w:t>
      </w:r>
    </w:p>
    <w:p>
      <w:pPr>
        <w:pBdr>
          <w:bottom w:val="single" w:color="D9D6CF" w:sz="6"/>
        </w:pBdr>
        <w:spacing w:after="220" w:before="100"/>
      </w:pPr>
    </w:p>
    <w:p>
      <w:r>
        <w:br w:type="page"/>
      </w:r>
    </w:p>
    <w:p>
      <w:pPr>
        <w:pStyle w:val="Heading1"/>
        <w:spacing w:after="200" w:before="420"/>
      </w:pPr>
      <w:r>
        <w:rPr>
          <w:rFonts w:ascii="Cambria" w:cs="Cambria" w:eastAsia="Cambria" w:hAnsi="Cambria"/>
          <w:b/>
          <w:bCs/>
          <w:color w:val="1C1F26"/>
          <w:sz w:val="30"/>
          <w:szCs w:val="30"/>
        </w:rPr>
        <w:t xml:space="preserve">20. Información requerida para iniciar</w:t>
      </w:r>
    </w:p>
    <w:p>
      <w:pPr>
        <w:spacing w:after="140"/>
      </w:pPr>
      <w:r>
        <w:rPr>
          <w:rFonts w:ascii="Calibri" w:cs="Calibri" w:eastAsia="Calibri" w:hAnsi="Calibri"/>
          <w:color w:val="222222"/>
          <w:sz w:val="21"/>
          <w:szCs w:val="21"/>
        </w:rPr>
        <w:t xml:space="preserve">Antes de lanzar las campañas, se debe solicitar al propietario la siguiente información. Todo dato no incluido en este documento se considera pendiente hasta que sea entregado y validado.</w:t>
      </w:r>
    </w:p>
    <w:p>
      <w:pPr>
        <w:pStyle w:val="Heading2"/>
        <w:spacing w:after="140" w:before="280"/>
      </w:pPr>
      <w:r>
        <w:rPr>
          <w:rFonts w:ascii="Calibri" w:cs="Calibri" w:eastAsia="Calibri" w:hAnsi="Calibri"/>
          <w:b/>
          <w:bCs/>
          <w:color w:val="B08D57"/>
          <w:sz w:val="23"/>
          <w:szCs w:val="23"/>
        </w:rPr>
        <w:t xml:space="preserve">Información del inmueble</w:t>
      </w:r>
    </w:p>
    <w:p>
      <w:pPr>
        <w:pStyle w:val="ListParagraph"/>
        <w:numPr>
          <w:ilvl w:val="0"/>
          <w:numId w:val="2"/>
        </w:numPr>
        <w:spacing w:after="90"/>
      </w:pPr>
      <w:r>
        <w:rPr>
          <w:rFonts w:ascii="Calibri" w:cs="Calibri" w:eastAsia="Calibri" w:hAnsi="Calibri"/>
          <w:color w:val="222222"/>
          <w:sz w:val="21"/>
          <w:szCs w:val="21"/>
        </w:rPr>
        <w:t xml:space="preserve">Dirección exacta, barrio y linderos</w:t>
      </w:r>
    </w:p>
    <w:p>
      <w:pPr>
        <w:pStyle w:val="ListParagraph"/>
        <w:numPr>
          <w:ilvl w:val="0"/>
          <w:numId w:val="2"/>
        </w:numPr>
        <w:spacing w:after="90"/>
      </w:pPr>
      <w:r>
        <w:rPr>
          <w:rFonts w:ascii="Calibri" w:cs="Calibri" w:eastAsia="Calibri" w:hAnsi="Calibri"/>
          <w:color w:val="222222"/>
          <w:sz w:val="21"/>
          <w:szCs w:val="21"/>
        </w:rPr>
        <w:t xml:space="preserve">Área construida total y por apartamento</w:t>
      </w:r>
    </w:p>
    <w:p>
      <w:pPr>
        <w:pStyle w:val="ListParagraph"/>
        <w:numPr>
          <w:ilvl w:val="0"/>
          <w:numId w:val="2"/>
        </w:numPr>
        <w:spacing w:after="90"/>
      </w:pPr>
      <w:r>
        <w:rPr>
          <w:rFonts w:ascii="Calibri" w:cs="Calibri" w:eastAsia="Calibri" w:hAnsi="Calibri"/>
          <w:color w:val="222222"/>
          <w:sz w:val="21"/>
          <w:szCs w:val="21"/>
        </w:rPr>
        <w:t xml:space="preserve">Número de habitaciones y baños por unidad</w:t>
      </w:r>
    </w:p>
    <w:p>
      <w:pPr>
        <w:pStyle w:val="ListParagraph"/>
        <w:numPr>
          <w:ilvl w:val="0"/>
          <w:numId w:val="2"/>
        </w:numPr>
        <w:spacing w:after="90"/>
      </w:pPr>
      <w:r>
        <w:rPr>
          <w:rFonts w:ascii="Calibri" w:cs="Calibri" w:eastAsia="Calibri" w:hAnsi="Calibri"/>
          <w:color w:val="222222"/>
          <w:sz w:val="21"/>
          <w:szCs w:val="21"/>
        </w:rPr>
        <w:t xml:space="preserve">Antigüedad y estado general del inmueble</w:t>
      </w:r>
    </w:p>
    <w:p>
      <w:pPr>
        <w:pStyle w:val="ListParagraph"/>
        <w:numPr>
          <w:ilvl w:val="0"/>
          <w:numId w:val="2"/>
        </w:numPr>
        <w:spacing w:after="90"/>
      </w:pPr>
      <w:r>
        <w:rPr>
          <w:rFonts w:ascii="Calibri" w:cs="Calibri" w:eastAsia="Calibri" w:hAnsi="Calibri"/>
          <w:color w:val="222222"/>
          <w:sz w:val="21"/>
          <w:szCs w:val="21"/>
        </w:rPr>
        <w:t xml:space="preserve">Inventario de muebles y equipos, si se van a incluir en alguna modalidad de venta</w:t>
      </w:r>
    </w:p>
    <w:p>
      <w:pPr>
        <w:pStyle w:val="Heading2"/>
        <w:spacing w:after="140" w:before="280"/>
      </w:pPr>
      <w:r>
        <w:rPr>
          <w:rFonts w:ascii="Calibri" w:cs="Calibri" w:eastAsia="Calibri" w:hAnsi="Calibri"/>
          <w:b/>
          <w:bCs/>
          <w:color w:val="B08D57"/>
          <w:sz w:val="23"/>
          <w:szCs w:val="23"/>
        </w:rPr>
        <w:t xml:space="preserve">Información operativa</w:t>
      </w:r>
    </w:p>
    <w:p>
      <w:pPr>
        <w:pStyle w:val="ListParagraph"/>
        <w:numPr>
          <w:ilvl w:val="0"/>
          <w:numId w:val="2"/>
        </w:numPr>
        <w:spacing w:after="90"/>
      </w:pPr>
      <w:r>
        <w:rPr>
          <w:rFonts w:ascii="Calibri" w:cs="Calibri" w:eastAsia="Calibri" w:hAnsi="Calibri"/>
          <w:color w:val="222222"/>
          <w:sz w:val="21"/>
          <w:szCs w:val="21"/>
        </w:rPr>
        <w:t xml:space="preserve">Estados financieros de la operación turística (mínimo los últimos 12 meses)</w:t>
      </w:r>
    </w:p>
    <w:p>
      <w:pPr>
        <w:pStyle w:val="ListParagraph"/>
        <w:numPr>
          <w:ilvl w:val="0"/>
          <w:numId w:val="2"/>
        </w:numPr>
        <w:spacing w:after="90"/>
      </w:pPr>
      <w:r>
        <w:rPr>
          <w:rFonts w:ascii="Calibri" w:cs="Calibri" w:eastAsia="Calibri" w:hAnsi="Calibri"/>
          <w:color w:val="222222"/>
          <w:sz w:val="21"/>
          <w:szCs w:val="21"/>
        </w:rPr>
        <w:t xml:space="preserve">Ocupación histórica y estacionalidad</w:t>
      </w:r>
    </w:p>
    <w:p>
      <w:pPr>
        <w:pStyle w:val="ListParagraph"/>
        <w:numPr>
          <w:ilvl w:val="0"/>
          <w:numId w:val="2"/>
        </w:numPr>
        <w:spacing w:after="90"/>
      </w:pPr>
      <w:r>
        <w:rPr>
          <w:rFonts w:ascii="Calibri" w:cs="Calibri" w:eastAsia="Calibri" w:hAnsi="Calibri"/>
          <w:color w:val="222222"/>
          <w:sz w:val="21"/>
          <w:szCs w:val="21"/>
        </w:rPr>
        <w:t xml:space="preserve">Gastos operativos, de administración, mantenimiento y comisiones</w:t>
      </w:r>
    </w:p>
    <w:p>
      <w:pPr>
        <w:pStyle w:val="ListParagraph"/>
        <w:numPr>
          <w:ilvl w:val="0"/>
          <w:numId w:val="2"/>
        </w:numPr>
        <w:spacing w:after="90"/>
      </w:pPr>
      <w:r>
        <w:rPr>
          <w:rFonts w:ascii="Calibri" w:cs="Calibri" w:eastAsia="Calibri" w:hAnsi="Calibri"/>
          <w:color w:val="222222"/>
          <w:sz w:val="21"/>
          <w:szCs w:val="21"/>
        </w:rPr>
        <w:t xml:space="preserve">Registro nacional de turismo y licencias de operación vigentes</w:t>
      </w:r>
    </w:p>
    <w:p>
      <w:pPr>
        <w:pStyle w:val="Heading2"/>
        <w:spacing w:after="140" w:before="280"/>
      </w:pPr>
      <w:r>
        <w:rPr>
          <w:rFonts w:ascii="Calibri" w:cs="Calibri" w:eastAsia="Calibri" w:hAnsi="Calibri"/>
          <w:b/>
          <w:bCs/>
          <w:color w:val="B08D57"/>
          <w:sz w:val="23"/>
          <w:szCs w:val="23"/>
        </w:rPr>
        <w:t xml:space="preserve">Información jurídica y societaria</w:t>
      </w:r>
    </w:p>
    <w:p>
      <w:pPr>
        <w:pStyle w:val="ListParagraph"/>
        <w:numPr>
          <w:ilvl w:val="0"/>
          <w:numId w:val="2"/>
        </w:numPr>
        <w:spacing w:after="90"/>
      </w:pPr>
      <w:r>
        <w:rPr>
          <w:rFonts w:ascii="Calibri" w:cs="Calibri" w:eastAsia="Calibri" w:hAnsi="Calibri"/>
          <w:color w:val="222222"/>
          <w:sz w:val="21"/>
          <w:szCs w:val="21"/>
        </w:rPr>
        <w:t xml:space="preserve">Certificado de tradición y libertad, y escritura pública del inmueble</w:t>
      </w:r>
    </w:p>
    <w:p>
      <w:pPr>
        <w:pStyle w:val="ListParagraph"/>
        <w:numPr>
          <w:ilvl w:val="0"/>
          <w:numId w:val="2"/>
        </w:numPr>
        <w:spacing w:after="90"/>
      </w:pPr>
      <w:r>
        <w:rPr>
          <w:rFonts w:ascii="Calibri" w:cs="Calibri" w:eastAsia="Calibri" w:hAnsi="Calibri"/>
          <w:color w:val="222222"/>
          <w:sz w:val="21"/>
          <w:szCs w:val="21"/>
        </w:rPr>
        <w:t xml:space="preserve">Composición societaria de la empresa propietaria</w:t>
      </w:r>
    </w:p>
    <w:p>
      <w:pPr>
        <w:pStyle w:val="ListParagraph"/>
        <w:numPr>
          <w:ilvl w:val="0"/>
          <w:numId w:val="2"/>
        </w:numPr>
        <w:spacing w:after="90"/>
      </w:pPr>
      <w:r>
        <w:rPr>
          <w:rFonts w:ascii="Calibri" w:cs="Calibri" w:eastAsia="Calibri" w:hAnsi="Calibri"/>
          <w:color w:val="222222"/>
          <w:sz w:val="21"/>
          <w:szCs w:val="21"/>
        </w:rPr>
        <w:t xml:space="preserve">Estado de cualquier gravamen, hipoteca o proceso legal sobre el inmueble o la sociedad</w:t>
      </w:r>
    </w:p>
    <w:p>
      <w:pPr>
        <w:pStyle w:val="ListParagraph"/>
        <w:numPr>
          <w:ilvl w:val="0"/>
          <w:numId w:val="2"/>
        </w:numPr>
        <w:spacing w:after="90"/>
      </w:pPr>
      <w:r>
        <w:rPr>
          <w:rFonts w:ascii="Calibri" w:cs="Calibri" w:eastAsia="Calibri" w:hAnsi="Calibri"/>
          <w:color w:val="222222"/>
          <w:sz w:val="21"/>
          <w:szCs w:val="21"/>
        </w:rPr>
        <w:t xml:space="preserve">Paz y salvo de impuestos, servicios públicos y administración</w:t>
      </w:r>
    </w:p>
    <w:p>
      <w:pPr>
        <w:pStyle w:val="ListParagraph"/>
        <w:numPr>
          <w:ilvl w:val="0"/>
          <w:numId w:val="2"/>
        </w:numPr>
        <w:spacing w:after="90"/>
      </w:pPr>
      <w:r>
        <w:rPr>
          <w:rFonts w:ascii="Calibri" w:cs="Calibri" w:eastAsia="Calibri" w:hAnsi="Calibri"/>
          <w:color w:val="222222"/>
          <w:sz w:val="21"/>
          <w:szCs w:val="21"/>
        </w:rPr>
        <w:t xml:space="preserve">Uso de suelo y norma urbanística aplicable, si se quiere explorar reconversión o desarrollo</w:t>
      </w:r>
    </w:p>
    <w:p>
      <w:pPr>
        <w:pStyle w:val="Heading2"/>
        <w:spacing w:after="140" w:before="280"/>
      </w:pPr>
      <w:r>
        <w:rPr>
          <w:rFonts w:ascii="Calibri" w:cs="Calibri" w:eastAsia="Calibri" w:hAnsi="Calibri"/>
          <w:b/>
          <w:bCs/>
          <w:color w:val="B08D57"/>
          <w:sz w:val="23"/>
          <w:szCs w:val="23"/>
        </w:rPr>
        <w:t xml:space="preserve">Información comercial</w:t>
      </w:r>
    </w:p>
    <w:p>
      <w:pPr>
        <w:pStyle w:val="ListParagraph"/>
        <w:numPr>
          <w:ilvl w:val="0"/>
          <w:numId w:val="2"/>
        </w:numPr>
        <w:spacing w:after="90"/>
      </w:pPr>
      <w:r>
        <w:rPr>
          <w:rFonts w:ascii="Calibri" w:cs="Calibri" w:eastAsia="Calibri" w:hAnsi="Calibri"/>
          <w:color w:val="222222"/>
          <w:sz w:val="21"/>
          <w:szCs w:val="21"/>
        </w:rPr>
        <w:t xml:space="preserve">Precio de venta definitivo y márgenes de negociación aceptables</w:t>
      </w:r>
    </w:p>
    <w:p>
      <w:pPr>
        <w:pStyle w:val="ListParagraph"/>
        <w:numPr>
          <w:ilvl w:val="0"/>
          <w:numId w:val="2"/>
        </w:numPr>
        <w:spacing w:after="90"/>
      </w:pPr>
      <w:r>
        <w:rPr>
          <w:rFonts w:ascii="Calibri" w:cs="Calibri" w:eastAsia="Calibri" w:hAnsi="Calibri"/>
          <w:color w:val="222222"/>
          <w:sz w:val="21"/>
          <w:szCs w:val="21"/>
        </w:rPr>
        <w:t xml:space="preserve">Modalidad(es) de venta que el propietario está dispuesto a ofrecer</w:t>
      </w:r>
    </w:p>
    <w:p>
      <w:pPr>
        <w:pStyle w:val="ListParagraph"/>
        <w:numPr>
          <w:ilvl w:val="0"/>
          <w:numId w:val="2"/>
        </w:numPr>
        <w:spacing w:after="90"/>
      </w:pPr>
      <w:r>
        <w:rPr>
          <w:rFonts w:ascii="Calibri" w:cs="Calibri" w:eastAsia="Calibri" w:hAnsi="Calibri"/>
          <w:color w:val="222222"/>
          <w:sz w:val="21"/>
          <w:szCs w:val="21"/>
        </w:rPr>
        <w:t xml:space="preserve">Condiciones de pago aceptadas (contado, financiación, plazos)</w:t>
      </w:r>
    </w:p>
    <w:p>
      <w:pPr>
        <w:pStyle w:val="ListParagraph"/>
        <w:numPr>
          <w:ilvl w:val="0"/>
          <w:numId w:val="2"/>
        </w:numPr>
        <w:spacing w:after="90"/>
      </w:pPr>
      <w:r>
        <w:rPr>
          <w:rFonts w:ascii="Calibri" w:cs="Calibri" w:eastAsia="Calibri" w:hAnsi="Calibri"/>
          <w:color w:val="222222"/>
          <w:sz w:val="21"/>
          <w:szCs w:val="21"/>
        </w:rPr>
        <w:t xml:space="preserve">Disponibilidad del equipo comercial del propietario para reuniones y visitas</w:t>
      </w:r>
    </w:p>
    <w:p>
      <w:pPr>
        <w:pStyle w:val="Heading2"/>
        <w:spacing w:after="140" w:before="280"/>
      </w:pPr>
      <w:r>
        <w:rPr>
          <w:rFonts w:ascii="Calibri" w:cs="Calibri" w:eastAsia="Calibri" w:hAnsi="Calibri"/>
          <w:b/>
          <w:bCs/>
          <w:color w:val="B08D57"/>
          <w:sz w:val="23"/>
          <w:szCs w:val="23"/>
        </w:rPr>
        <w:t xml:space="preserve">Material gráfico y audiovisual</w:t>
      </w:r>
    </w:p>
    <w:p>
      <w:pPr>
        <w:pStyle w:val="ListParagraph"/>
        <w:numPr>
          <w:ilvl w:val="0"/>
          <w:numId w:val="2"/>
        </w:numPr>
        <w:spacing w:after="90"/>
      </w:pPr>
      <w:r>
        <w:rPr>
          <w:rFonts w:ascii="Calibri" w:cs="Calibri" w:eastAsia="Calibri" w:hAnsi="Calibri"/>
          <w:color w:val="222222"/>
          <w:sz w:val="21"/>
          <w:szCs w:val="21"/>
        </w:rPr>
        <w:t xml:space="preserve">Fotografías profesionales del edificio (fachada, interiores, áreas comunes)</w:t>
      </w:r>
    </w:p>
    <w:p>
      <w:pPr>
        <w:pStyle w:val="ListParagraph"/>
        <w:numPr>
          <w:ilvl w:val="0"/>
          <w:numId w:val="2"/>
        </w:numPr>
        <w:spacing w:after="90"/>
      </w:pPr>
      <w:r>
        <w:rPr>
          <w:rFonts w:ascii="Calibri" w:cs="Calibri" w:eastAsia="Calibri" w:hAnsi="Calibri"/>
          <w:color w:val="222222"/>
          <w:sz w:val="21"/>
          <w:szCs w:val="21"/>
        </w:rPr>
        <w:t xml:space="preserve">Video institucional o grabación con dron</w:t>
      </w:r>
    </w:p>
    <w:p>
      <w:pPr>
        <w:pStyle w:val="ListParagraph"/>
        <w:numPr>
          <w:ilvl w:val="0"/>
          <w:numId w:val="2"/>
        </w:numPr>
        <w:spacing w:after="90"/>
      </w:pPr>
      <w:r>
        <w:rPr>
          <w:rFonts w:ascii="Calibri" w:cs="Calibri" w:eastAsia="Calibri" w:hAnsi="Calibri"/>
          <w:color w:val="222222"/>
          <w:sz w:val="21"/>
          <w:szCs w:val="21"/>
        </w:rPr>
        <w:t xml:space="preserve">Cualquier material de marca o presentación ya existente del activo</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6"/>
        <w:sz w:val="16"/>
        <w:szCs w:val="16"/>
      </w:rPr>
      <w:t xml:space="preserve">Confidencial — </w:t>
    </w:r>
    <w:r>
      <w:rPr>
        <w:rFonts w:ascii="Calibri" w:cs="Calibri" w:eastAsia="Calibri" w:hAnsi="Calibri"/>
        <w:color w:val="6B6B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6CF" w:sz="4"/>
      </w:pBdr>
      <w:jc w:val="right"/>
    </w:pPr>
    <w:r>
      <w:rPr>
        <w:rFonts w:ascii="Calibri" w:cs="Calibri" w:eastAsia="Calibri" w:hAnsi="Calibri"/>
        <w:color w:val="6B6B66"/>
        <w:sz w:val="16"/>
        <w:szCs w:val="16"/>
      </w:rPr>
      <w:t xml:space="preserve">Plan de 90 Días · Sistema de Adquisición y Calificación de Inversionistas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20" w:hanging="320"/>
      </w:pPr>
    </w:lvl>
  </w:abstractNum>
  <w:abstractNum w:abstractNumId="4" w15:restartNumberingAfterBreak="0">
    <w:multiLevelType w:val="hybridMultilevel"/>
    <w:lvl w:ilvl="0" w15:tentative="1">
      <w:start w:val="1"/>
      <w:numFmt w:val="decimal"/>
      <w:lvlText w:val="%1."/>
      <w:lvlJc w:val="left"/>
      <w:pPr>
        <w:ind w:left="420" w:hanging="320"/>
      </w:pPr>
    </w:lvl>
  </w:abstractNum>
  <w:abstractNum w:abstractNumId="5" w15:restartNumberingAfterBreak="0">
    <w:multiLevelType w:val="hybridMultilevel"/>
    <w:lvl w:ilvl="0" w15:tentative="1">
      <w:start w:val="1"/>
      <w:numFmt w:val="decimal"/>
      <w:lvlText w:val="%1."/>
      <w:lvlJc w:val="left"/>
      <w:pPr>
        <w:ind w:left="420" w:hanging="320"/>
      </w:pPr>
    </w:lvl>
  </w:abstractNum>
  <w:abstractNum w:abstractNumId="6" w15:restartNumberingAfterBreak="0">
    <w:multiLevelType w:val="hybridMultilevel"/>
    <w:lvl w:ilvl="0" w15:tentative="1">
      <w:start w:val="1"/>
      <w:numFmt w:val="decimal"/>
      <w:lvlText w:val="%1."/>
      <w:lvlJc w:val="left"/>
      <w:pPr>
        <w:ind w:left="420" w:hanging="320"/>
      </w:pPr>
    </w:lvl>
  </w:abstractNum>
  <w:abstractNum w:abstractNumId="7" w15:restartNumberingAfterBreak="0">
    <w:multiLevelType w:val="hybridMultilevel"/>
    <w:lvl w:ilvl="0" w15:tentative="1">
      <w:start w:val="1"/>
      <w:numFmt w:val="decimal"/>
      <w:lvlText w:val="%1."/>
      <w:lvlJc w:val="left"/>
      <w:pPr>
        <w:ind w:left="420" w:hanging="320"/>
      </w:pPr>
    </w:lvl>
  </w:abstractNum>
  <w:abstractNum w:abstractNumId="8" w15:restartNumberingAfterBreak="0">
    <w:multiLevelType w:val="hybridMultilevel"/>
    <w:lvl w:ilvl="0" w15:tentative="1">
      <w:start w:val="1"/>
      <w:numFmt w:val="decimal"/>
      <w:lvlText w:val="%1."/>
      <w:lvlJc w:val="left"/>
      <w:pPr>
        <w:ind w:left="420" w:hanging="320"/>
      </w:pPr>
    </w:lvl>
  </w:abstractNum>
  <w:abstractNum w:abstractNumId="9" w15:restartNumberingAfterBreak="0">
    <w:multiLevelType w:val="hybridMultilevel"/>
    <w:lvl w:ilvl="0" w15:tentative="1">
      <w:start w:val="1"/>
      <w:numFmt w:val="decimal"/>
      <w:lvlText w:val="%1."/>
      <w:lvlJc w:val="left"/>
      <w:pPr>
        <w:ind w:left="420" w:hanging="320"/>
      </w:pPr>
    </w:lvl>
  </w:abstractNum>
  <w:abstractNum w:abstractNumId="10"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2026-08-22T22:17:13.325Z</dcterms:created>
  <dcterms:modified xsi:type="dcterms:W3CDTF">2026-08-22T22:17:13.325Z</dcterms:modified>
</cp:coreProperties>
</file>

<file path=docProps/custom.xml><?xml version="1.0" encoding="utf-8"?>
<Properties xmlns="http://schemas.openxmlformats.org/officeDocument/2006/custom-properties" xmlns:vt="http://schemas.openxmlformats.org/officeDocument/2006/docPropsVTypes"/>
</file>