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 xml:space="preserve">THE </w:t>
      </w:r>
      <w:r w:rsidR="00D60A5C" w:rsidRPr="00D60A5C">
        <w:rPr>
          <w:rFonts w:ascii="Menlo" w:hAnsi="Menlo" w:cs="Menlo"/>
          <w:color w:val="000000"/>
          <w:kern w:val="0"/>
          <w:sz w:val="48"/>
          <w:szCs w:val="48"/>
        </w:rPr>
        <w:t>{</w:t>
      </w:r>
      <w:proofErr w:type="spellStart"/>
      <w:r w:rsidR="00D60A5C" w:rsidRPr="00D60A5C">
        <w:rPr>
          <w:rFonts w:ascii="Times New Roman" w:hAnsi="Times New Roman" w:cs="Times New Roman"/>
          <w:color w:val="000000"/>
          <w:kern w:val="0"/>
          <w:sz w:val="48"/>
          <w:szCs w:val="48"/>
        </w:rPr>
        <w:t>trustName</w:t>
      </w:r>
      <w:proofErr w:type="spellEnd"/>
      <w:r w:rsidR="00D60A5C" w:rsidRPr="00D60A5C">
        <w:rPr>
          <w:rFonts w:ascii="Menlo" w:hAnsi="Menlo" w:cs="Menlo"/>
          <w:color w:val="000000"/>
          <w:kern w:val="0"/>
          <w:sz w:val="48"/>
          <w:szCs w:val="48"/>
        </w:rPr>
        <w:t>}</w:t>
      </w:r>
      <w:r w:rsidRPr="00C06EA9">
        <w:rPr>
          <w:rFonts w:ascii="Times New Roman" w:eastAsia="Times New Roman" w:hAnsi="Times New Roman" w:cs="Times New Roman"/>
          <w:b/>
          <w:bCs/>
          <w:kern w:val="36"/>
          <w:sz w:val="48"/>
          <w:szCs w:val="48"/>
          <w14:ligatures w14:val="none"/>
        </w:rPr>
        <w:t xml:space="preserv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C06EA9">
        <w:rPr>
          <w:rFonts w:ascii="Times New Roman" w:eastAsia="Times New Roman" w:hAnsi="Times New Roman" w:cs="Times New Roman"/>
          <w:kern w:val="0"/>
          <w:sz w:val="40"/>
          <w:szCs w:val="40"/>
          <w14:ligatures w14:val="none"/>
        </w:rPr>
        <w:t>[DATE]</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 xml:space="preserve">THE </w:t>
      </w:r>
      <w:r w:rsidR="00D60A5C" w:rsidRPr="00D60A5C">
        <w:rPr>
          <w:rFonts w:ascii="Menlo" w:hAnsi="Menlo" w:cs="Menlo"/>
          <w:color w:val="000000"/>
          <w:kern w:val="0"/>
          <w:sz w:val="44"/>
          <w:szCs w:val="44"/>
        </w:rPr>
        <w:t>{</w:t>
      </w:r>
      <w:proofErr w:type="spellStart"/>
      <w:r w:rsidR="00D60A5C" w:rsidRPr="00D60A5C">
        <w:rPr>
          <w:rFonts w:ascii="Times New Roman" w:hAnsi="Times New Roman" w:cs="Times New Roman"/>
          <w:b/>
          <w:bCs/>
          <w:color w:val="000000"/>
          <w:kern w:val="0"/>
          <w:sz w:val="48"/>
          <w:szCs w:val="48"/>
        </w:rPr>
        <w:t>T</w:t>
      </w:r>
      <w:r w:rsidR="00D60A5C">
        <w:rPr>
          <w:rFonts w:ascii="Times New Roman" w:hAnsi="Times New Roman" w:cs="Times New Roman"/>
          <w:b/>
          <w:bCs/>
          <w:color w:val="000000"/>
          <w:kern w:val="0"/>
          <w:sz w:val="48"/>
          <w:szCs w:val="48"/>
        </w:rPr>
        <w:t>rustName</w:t>
      </w:r>
      <w:proofErr w:type="spellEnd"/>
      <w:r w:rsidR="00D60A5C" w:rsidRPr="00D60A5C">
        <w:rPr>
          <w:rFonts w:ascii="Menlo" w:hAnsi="Menlo" w:cs="Menlo"/>
          <w:color w:val="000000"/>
          <w:kern w:val="0"/>
          <w:sz w:val="44"/>
          <w:szCs w:val="44"/>
        </w:rPr>
        <w:t>}</w:t>
      </w:r>
      <w:r w:rsidRPr="00C06EA9">
        <w:rPr>
          <w:rFonts w:ascii="Times New Roman" w:eastAsia="Times New Roman" w:hAnsi="Times New Roman" w:cs="Times New Roman"/>
          <w:b/>
          <w:bCs/>
          <w:kern w:val="36"/>
          <w:sz w:val="48"/>
          <w:szCs w:val="48"/>
          <w14:ligatures w14:val="none"/>
        </w:rPr>
        <w:t xml:space="preserv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xml:space="preserv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w:t>
      </w:r>
      <w:r w:rsidR="00D60A5C" w:rsidRPr="00D60A5C">
        <w:rPr>
          <w:rFonts w:ascii="Menlo" w:hAnsi="Menlo" w:cs="Menlo"/>
          <w:color w:val="000000"/>
          <w:kern w:val="0"/>
        </w:rPr>
        <w:t>{</w:t>
      </w:r>
      <w:proofErr w:type="spellStart"/>
      <w:r w:rsidR="00D60A5C" w:rsidRPr="00D60A5C">
        <w:rPr>
          <w:rFonts w:ascii="Menlo" w:hAnsi="Menlo" w:cs="Menlo"/>
          <w:color w:val="000000"/>
          <w:kern w:val="0"/>
        </w:rPr>
        <w:t>trustName</w:t>
      </w:r>
      <w:proofErr w:type="spellEnd"/>
      <w:r w:rsidR="00D60A5C" w:rsidRPr="00D60A5C">
        <w:rPr>
          <w:rFonts w:ascii="Menlo" w:hAnsi="Menlo" w:cs="Menlo"/>
          <w:color w:val="000000"/>
          <w:kern w:val="0"/>
        </w:rPr>
        <w:t>}</w:t>
      </w:r>
      <w:r w:rsidR="00D60A5C">
        <w:rPr>
          <w:rFonts w:ascii="Menlo" w:hAnsi="Menlo" w:cs="Menlo"/>
          <w:color w:val="000000"/>
          <w:kern w:val="0"/>
          <w:sz w:val="22"/>
          <w:szCs w:val="22"/>
        </w:rPr>
        <w:t xml:space="preserve"> </w:t>
      </w:r>
      <w:r w:rsidRPr="00C06EA9">
        <w:rPr>
          <w:rFonts w:ascii="Times New Roman" w:eastAsia="Times New Roman" w:hAnsi="Times New Roman" w:cs="Times New Roman"/>
          <w:kern w:val="0"/>
          <w14:ligatures w14:val="none"/>
        </w:rPr>
        <w:t xml:space="preserve">Irrevocable Trust, dated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To perfect the parent-child exclusion from property tax reassessment, the Trustee and the beneficiaries receiving the Family Home shall comply with all filing requirements imposed by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Providing all documentation reasonably requested by the County Assessor to verify eligibility for the exclusion, including but not limited to: proof of the parent-child relationship, evidence </w:t>
      </w:r>
      <w:r w:rsidRPr="00C06EA9">
        <w:rPr>
          <w:rFonts w:ascii="Times New Roman" w:eastAsia="Times New Roman" w:hAnsi="Times New Roman" w:cs="Times New Roman"/>
          <w:kern w:val="0"/>
          <w14:ligatures w14:val="none"/>
        </w:rPr>
        <w:lastRenderedPageBreak/>
        <w:t>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directed to monitor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in consultation with competent legal counsel specializing </w:t>
      </w:r>
      <w:r w:rsidR="00C64524">
        <w:rPr>
          <w:rFonts w:ascii="Times New Roman" w:eastAsia="Times New Roman" w:hAnsi="Times New Roman" w:cs="Times New Roman"/>
          <w:kern w:val="0"/>
          <w14:ligatures w14:val="none"/>
        </w:rPr>
        <w:t>Is California</w:t>
      </w:r>
      <w:r w:rsidRPr="00C06EA9">
        <w:rPr>
          <w:rFonts w:ascii="Times New Roman" w:eastAsia="Times New Roman" w:hAnsi="Times New Roman" w:cs="Times New Roman"/>
          <w:kern w:val="0"/>
          <w14:ligatures w14:val="none"/>
        </w:rPr>
        <w:t xml:space="preserve"> property tax law, is authorized to petition a court of competent jurisdiction to modify the terms of this Section if necessary to conform to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am creating this trust with the intent that assets transferred to the trust be held for the benefit of my trust beneficiaries on the terms and conditions set forth in this agreement. In order to 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Fpir</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lastRenderedPageBreak/>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w:t>
      </w:r>
      <w:r w:rsidRPr="005751FA">
        <w:rPr>
          <w:rFonts w:ascii="Times New Roman" w:hAnsi="Times New Roman" w:cs="Times New Roman"/>
        </w:rPr>
        <w:lastRenderedPageBreak/>
        <w:t>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P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sidR="00C6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5751FA" w:rsidRDefault="005751FA" w:rsidP="005751FA">
      <w:r>
        <w:t xml:space="preserve">Upon the death of the survivor of us, the Trustee shall administer and distribute our remaining trust property (not distributed under prior Articles of this instrument), or other property allocated to this Article under the terms of this Article </w:t>
      </w:r>
      <w:r w:rsidR="00D60A5C">
        <w:t>as follows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{#hasOutrightBeneficiaries}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Trustee shall divide my remaining trust property into shares as follows: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Relationship</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Share</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{#outrightBeneficiaries}</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w:t>
      </w: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sharePercent</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outrightBeneficiaries</w:t>
      </w:r>
      <w:proofErr w:type="spellEnd"/>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0A5C" w:rsidRPr="00BC096E" w:rsidRDefault="00D60A5C" w:rsidP="00D60A5C">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096E" w:rsidRPr="00BC096E" w:rsidRDefault="00D60A5C" w:rsidP="00BC096E">
      <w:pPr>
        <w:pStyle w:val="Heading2"/>
        <w:spacing w:before="0" w:after="0"/>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96E">
        <w:rPr>
          <w:rFonts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Trustee shall administer the share of each beneficiary as provided in the Sections that follow.</w:t>
      </w:r>
    </w:p>
    <w:p w:rsidR="00BC096E" w:rsidRDefault="00BC096E" w:rsidP="00BC096E">
      <w:r>
        <w:t xml:space="preserve">{#beneficiaries}Section </w:t>
      </w:r>
      <w:r>
        <w:t>5</w:t>
      </w:r>
      <w:r>
        <w:t>.{$index + 2}      Distribution of the Share for {</w:t>
      </w:r>
      <w:proofErr w:type="spellStart"/>
      <w:r>
        <w:t>beneficiary.fullName</w:t>
      </w:r>
      <w:proofErr w:type="spellEnd"/>
      <w:r>
        <w:t>}</w:t>
      </w:r>
      <w:r>
        <w:br/>
      </w:r>
      <w:r>
        <w:br/>
        <w:t>{^</w:t>
      </w:r>
      <w:proofErr w:type="spellStart"/>
      <w:r>
        <w:t>beneficiary.hasAgeDistribution</w:t>
      </w:r>
      <w:proofErr w:type="spellEnd"/>
      <w:r>
        <w:t>}The Trustee shall distribute the share set aside for {</w:t>
      </w:r>
      <w:proofErr w:type="spellStart"/>
      <w:r>
        <w:t>beneficiary.fullName</w:t>
      </w:r>
      <w:proofErr w:type="spellEnd"/>
      <w:r>
        <w:t>} to {</w:t>
      </w:r>
      <w:proofErr w:type="spellStart"/>
      <w:r>
        <w:t>beneficiary.pronounObjective</w:t>
      </w:r>
      <w:proofErr w:type="spellEnd"/>
      <w:r>
        <w:t>} outright and free of trust.</w:t>
      </w:r>
      <w:r>
        <w:br/>
      </w:r>
      <w:r>
        <w:br/>
        <w:t>If {</w:t>
      </w:r>
      <w:proofErr w:type="spellStart"/>
      <w:r>
        <w:t>beneficiary.fullName</w:t>
      </w:r>
      <w:proofErr w:type="spellEnd"/>
      <w:r>
        <w:t>} is deceased, the Trustee shall distribute {</w:t>
      </w:r>
      <w:proofErr w:type="spellStart"/>
      <w:r>
        <w:t>beneficiary.fullName</w:t>
      </w:r>
      <w:proofErr w:type="spellEnd"/>
      <w:r>
        <w:t>}'s share per stirpes to {</w:t>
      </w:r>
      <w:proofErr w:type="spellStart"/>
      <w:r>
        <w:t>beneficiary.pronounPossessive</w:t>
      </w:r>
      <w:proofErr w:type="spellEnd"/>
      <w:r>
        <w:t>} descendants. If {</w:t>
      </w:r>
      <w:proofErr w:type="spellStart"/>
      <w:proofErr w:type="gramStart"/>
      <w:r>
        <w:t>beneficiary.fullName</w:t>
      </w:r>
      <w:proofErr w:type="spellEnd"/>
      <w:proofErr w:type="gramEnd"/>
      <w:r>
        <w:t>} has no descendants, the Trustee shall distribute {</w:t>
      </w:r>
      <w:proofErr w:type="spellStart"/>
      <w:proofErr w:type="gramStart"/>
      <w:r>
        <w:t>beneficiary.fullName</w:t>
      </w:r>
      <w:proofErr w:type="spellEnd"/>
      <w:proofErr w:type="gramEnd"/>
      <w:r>
        <w:t>}'s share pro rata to the other beneficiaries named in this Article. If no other named beneficiaries exist, the Trustee shall distribute {</w:t>
      </w:r>
      <w:proofErr w:type="spellStart"/>
      <w:r>
        <w:t>beneficiary.fullName</w:t>
      </w:r>
      <w:proofErr w:type="spellEnd"/>
      <w:r>
        <w:t xml:space="preserve">}'s share under the terms of Article </w:t>
      </w:r>
      <w:r>
        <w:t>6</w:t>
      </w:r>
      <w:r>
        <w:t>.</w:t>
      </w:r>
      <w:r>
        <w:br/>
      </w:r>
      <w:r>
        <w:br/>
        <w:t>{/beneficiary.hasAgeDistribution}{#beneficiary.hasAgeDistribution}The Trustee shall distribute the share set aside for {</w:t>
      </w:r>
      <w:proofErr w:type="spellStart"/>
      <w:r>
        <w:t>beneficiary.fullName</w:t>
      </w:r>
      <w:proofErr w:type="spellEnd"/>
      <w:r>
        <w:t>} in trust as provided in this Section.</w:t>
      </w:r>
      <w:r>
        <w:br/>
      </w:r>
      <w:r>
        <w:br/>
        <w:t>(a)      Distributions of Income and Principal</w:t>
      </w:r>
      <w:r>
        <w:br/>
      </w:r>
      <w:r>
        <w:br/>
        <w:t>The Independent Trustee may distribute to {</w:t>
      </w:r>
      <w:proofErr w:type="spellStart"/>
      <w:r>
        <w:t>beneficiary.fullName</w:t>
      </w:r>
      <w:proofErr w:type="spellEnd"/>
      <w:r>
        <w:t>} as much of the income and principal of {</w:t>
      </w:r>
      <w:proofErr w:type="spellStart"/>
      <w:r>
        <w:t>beneficiary.pronounPossessive</w:t>
      </w:r>
      <w:proofErr w:type="spellEnd"/>
      <w:r>
        <w:t>} trust as the Independent Trustee may determine advisable for any purpose. If no Independent Trustee is then acting, then the Trustee will make all distributions of income and principal to {</w:t>
      </w:r>
      <w:proofErr w:type="spellStart"/>
      <w:proofErr w:type="gramStart"/>
      <w:r>
        <w:t>beneficiary.fullName</w:t>
      </w:r>
      <w:proofErr w:type="spellEnd"/>
      <w:proofErr w:type="gramEnd"/>
      <w:r>
        <w:t>}.</w:t>
      </w:r>
      <w:r>
        <w:br/>
      </w:r>
      <w:r>
        <w:br/>
        <w:t>The Trustee shall add any undistributed net income to principal.</w:t>
      </w:r>
      <w:r>
        <w:br/>
      </w:r>
      <w:r>
        <w:br/>
        <w:t>(</w:t>
      </w:r>
      <w:proofErr w:type="gramStart"/>
      <w:r>
        <w:t xml:space="preserve">b)   </w:t>
      </w:r>
      <w:proofErr w:type="gramEnd"/>
      <w:r>
        <w:t xml:space="preserve">   Guidelines for Discretionary Distributions</w:t>
      </w:r>
      <w:r>
        <w:br/>
      </w:r>
      <w:r>
        <w:br/>
        <w:t>In making discretionary distributions to {</w:t>
      </w:r>
      <w:proofErr w:type="spellStart"/>
      <w:proofErr w:type="gramStart"/>
      <w:r>
        <w:t>beneficiary.fullName</w:t>
      </w:r>
      <w:proofErr w:type="spellEnd"/>
      <w:proofErr w:type="gramEnd"/>
      <w:r>
        <w:t>}, I desire to provide for {</w:t>
      </w:r>
      <w:proofErr w:type="spellStart"/>
      <w:proofErr w:type="gramStart"/>
      <w:r>
        <w:t>beneficiary.pronounPossessive</w:t>
      </w:r>
      <w:proofErr w:type="spellEnd"/>
      <w:proofErr w:type="gramEnd"/>
      <w:r>
        <w:t>} well-being and happiness. Although I request that the Trustee consider the other known resources available to {</w:t>
      </w:r>
      <w:proofErr w:type="spellStart"/>
      <w:r>
        <w:t>beneficiary.fullName</w:t>
      </w:r>
      <w:proofErr w:type="spellEnd"/>
      <w:r>
        <w:t xml:space="preserve">}, the Trustee need not be </w:t>
      </w:r>
      <w:r>
        <w:lastRenderedPageBreak/>
        <w:t>concerned with any resources or the availability of resources to {</w:t>
      </w:r>
      <w:proofErr w:type="spellStart"/>
      <w:r>
        <w:t>beneficiary.fullName</w:t>
      </w:r>
      <w:proofErr w:type="spellEnd"/>
      <w:r>
        <w:t>} from any other source.</w:t>
      </w:r>
      <w:r>
        <w:br/>
      </w:r>
      <w:r>
        <w:br/>
        <w:t>(c)      Right to Withdraw Principal</w:t>
      </w:r>
      <w:r>
        <w:br/>
      </w:r>
      <w:r>
        <w:br/>
        <w:t>At the intervals set forth below, {</w:t>
      </w:r>
      <w:proofErr w:type="spellStart"/>
      <w:r>
        <w:t>beneficiary.fullName</w:t>
      </w:r>
      <w:proofErr w:type="spellEnd"/>
      <w:r>
        <w:t>} may withdraw from {</w:t>
      </w:r>
      <w:proofErr w:type="spellStart"/>
      <w:r>
        <w:t>beneficiary.pronounPossessive</w:t>
      </w:r>
      <w:proofErr w:type="spellEnd"/>
      <w:r>
        <w:t>} trust, at any time, amounts not to exceed in the aggregate:</w:t>
      </w:r>
      <w:r>
        <w:br/>
      </w:r>
      <w:r>
        <w:br/>
        <w:t>{#beneficiary.ageDistributionRules}{ageRule.percentage}% of the accumulated trust income and principal {</w:t>
      </w:r>
      <w:proofErr w:type="spellStart"/>
      <w:r>
        <w:t>ageRule.timing</w:t>
      </w:r>
      <w:proofErr w:type="spellEnd"/>
      <w:r>
        <w:t>};</w:t>
      </w:r>
      <w:r>
        <w:br/>
        <w:t>{/</w:t>
      </w:r>
      <w:proofErr w:type="spellStart"/>
      <w:r>
        <w:t>beneficiary.ageDistributionRules</w:t>
      </w:r>
      <w:proofErr w:type="spellEnd"/>
      <w:r>
        <w:t>}</w:t>
      </w:r>
      <w:r>
        <w:br/>
        <w:t>(d)      Distribution upon the Death of {</w:t>
      </w:r>
      <w:proofErr w:type="spellStart"/>
      <w:r>
        <w:t>beneficiary.fullName</w:t>
      </w:r>
      <w:proofErr w:type="spellEnd"/>
      <w:r>
        <w:t>}</w:t>
      </w:r>
      <w:r>
        <w:br/>
      </w:r>
      <w:r>
        <w:br/>
        <w:t>Subject to the terms of the next paragraph, {</w:t>
      </w:r>
      <w:proofErr w:type="spellStart"/>
      <w:r>
        <w:t>beneficiary.fullName</w:t>
      </w:r>
      <w:proofErr w:type="spellEnd"/>
      <w:r>
        <w:t>} has the unlimited testamentary general power to appoint all or any portion of the principal and undistributed income remaining in {</w:t>
      </w:r>
      <w:proofErr w:type="spellStart"/>
      <w:r>
        <w:t>beneficiary.pronounPossessive</w:t>
      </w:r>
      <w:proofErr w:type="spellEnd"/>
      <w:r>
        <w:t>} trust to any person or entity.</w:t>
      </w:r>
      <w:r>
        <w:br/>
      </w:r>
      <w:r>
        <w:br/>
        <w:t>{</w:t>
      </w:r>
      <w:proofErr w:type="spellStart"/>
      <w:r>
        <w:t>beneficiary.fullName</w:t>
      </w:r>
      <w:proofErr w:type="spellEnd"/>
      <w:r>
        <w:t>} may not exercise this power of appointment to appoint to {</w:t>
      </w:r>
      <w:proofErr w:type="spellStart"/>
      <w:r>
        <w:t>beneficiary.pronounReflexive</w:t>
      </w:r>
      <w:proofErr w:type="spellEnd"/>
      <w:r>
        <w:t>}, {</w:t>
      </w:r>
      <w:proofErr w:type="spellStart"/>
      <w:r>
        <w:t>beneficiary.pronounPossessive</w:t>
      </w:r>
      <w:proofErr w:type="spellEnd"/>
      <w:r>
        <w:t>} estate, {</w:t>
      </w:r>
      <w:proofErr w:type="spellStart"/>
      <w:r>
        <w:t>beneficiary.pronounPossessive</w:t>
      </w:r>
      <w:proofErr w:type="spellEnd"/>
      <w:r>
        <w:t>} creditors, or the creditors of {</w:t>
      </w:r>
      <w:proofErr w:type="spellStart"/>
      <w:r>
        <w:t>beneficiary.pronounPossessive</w:t>
      </w:r>
      <w:proofErr w:type="spellEnd"/>
      <w:r>
        <w:t>} estate from the limited share of {</w:t>
      </w:r>
      <w:proofErr w:type="spellStart"/>
      <w:r>
        <w:t>beneficiary.pronounPossessive</w:t>
      </w:r>
      <w:proofErr w:type="spellEnd"/>
      <w:r>
        <w:t>} trust. For purposes of this Subsection, limited share means an amount not exceeding the greater of: (1) {</w:t>
      </w:r>
      <w:proofErr w:type="spellStart"/>
      <w:r>
        <w:t>limitedSharePercentage</w:t>
      </w:r>
      <w:proofErr w:type="spellEnd"/>
      <w:r>
        <w:t>} of the value of {</w:t>
      </w:r>
      <w:proofErr w:type="spellStart"/>
      <w:proofErr w:type="gramStart"/>
      <w:r>
        <w:t>beneficiary.pronounPossessive</w:t>
      </w:r>
      <w:proofErr w:type="spellEnd"/>
      <w:proofErr w:type="gramEnd"/>
      <w:r>
        <w:t>} trust; or (2) {</w:t>
      </w:r>
      <w:proofErr w:type="spellStart"/>
      <w:r>
        <w:t>limitedShareAmountWords</w:t>
      </w:r>
      <w:proofErr w:type="spellEnd"/>
      <w:r>
        <w:t>} \({</w:t>
      </w:r>
      <w:proofErr w:type="spellStart"/>
      <w:r>
        <w:t>limitedShareAmount</w:t>
      </w:r>
      <w:proofErr w:type="spellEnd"/>
      <w:r>
        <w:t>}\).</w:t>
      </w:r>
      <w:r>
        <w:br/>
      </w:r>
      <w:r>
        <w:br/>
        <w:t>If any part of {</w:t>
      </w:r>
      <w:proofErr w:type="spellStart"/>
      <w:proofErr w:type="gramStart"/>
      <w:r>
        <w:t>beneficiary.fullName</w:t>
      </w:r>
      <w:proofErr w:type="spellEnd"/>
      <w:proofErr w:type="gramEnd"/>
      <w:r>
        <w:t>}'s trust is not effectively appointed, the Trustee shall distribute the remaining unappointed balance per stirpes to {</w:t>
      </w:r>
      <w:proofErr w:type="spellStart"/>
      <w:proofErr w:type="gramStart"/>
      <w:r>
        <w:t>beneficiary.fullName</w:t>
      </w:r>
      <w:proofErr w:type="spellEnd"/>
      <w:proofErr w:type="gramEnd"/>
      <w:r>
        <w:t>}'s descendants. If {</w:t>
      </w:r>
      <w:proofErr w:type="spellStart"/>
      <w:r>
        <w:t>beneficiary.fullName</w:t>
      </w:r>
      <w:proofErr w:type="spellEnd"/>
      <w:r>
        <w:t xml:space="preserve">} has no then-living descendants, the Trustee shall distribute the balance as provided in Article </w:t>
      </w:r>
      <w:r>
        <w:t>6</w:t>
      </w:r>
      <w:r>
        <w:t>.</w:t>
      </w:r>
      <w:r>
        <w:br/>
      </w:r>
      <w:r>
        <w:br/>
        <w:t>(</w:t>
      </w:r>
      <w:proofErr w:type="gramStart"/>
      <w:r>
        <w:t xml:space="preserve">e)   </w:t>
      </w:r>
      <w:proofErr w:type="gramEnd"/>
      <w:r>
        <w:t xml:space="preserve">   Distribution if {</w:t>
      </w:r>
      <w:proofErr w:type="spellStart"/>
      <w:proofErr w:type="gramStart"/>
      <w:r>
        <w:t>beneficiary.fullName</w:t>
      </w:r>
      <w:proofErr w:type="spellEnd"/>
      <w:proofErr w:type="gramEnd"/>
      <w:r>
        <w:t>} Is Deceased</w:t>
      </w:r>
      <w:r>
        <w:br/>
      </w:r>
      <w:r>
        <w:br/>
        <w:t>If {</w:t>
      </w:r>
      <w:proofErr w:type="spellStart"/>
      <w:proofErr w:type="gramStart"/>
      <w:r>
        <w:t>beneficiary.fullName</w:t>
      </w:r>
      <w:proofErr w:type="spellEnd"/>
      <w:proofErr w:type="gramEnd"/>
      <w:r>
        <w:t>} dies before the establishment of {</w:t>
      </w:r>
      <w:proofErr w:type="spellStart"/>
      <w:proofErr w:type="gramStart"/>
      <w:r>
        <w:t>beneficiary.pronounPossessive</w:t>
      </w:r>
      <w:proofErr w:type="spellEnd"/>
      <w:proofErr w:type="gramEnd"/>
      <w:r>
        <w:t>} trust, the Trustee shall distribute {</w:t>
      </w:r>
      <w:proofErr w:type="spellStart"/>
      <w:proofErr w:type="gramStart"/>
      <w:r>
        <w:t>beneficiary.fullName</w:t>
      </w:r>
      <w:proofErr w:type="spellEnd"/>
      <w:proofErr w:type="gramEnd"/>
      <w:r>
        <w:t>}'s share per stirpes to {</w:t>
      </w:r>
      <w:proofErr w:type="spellStart"/>
      <w:proofErr w:type="gramStart"/>
      <w:r>
        <w:t>beneficiary.pronounPossessive</w:t>
      </w:r>
      <w:proofErr w:type="spellEnd"/>
      <w:proofErr w:type="gramEnd"/>
      <w:r>
        <w:t>} descendants. If {</w:t>
      </w:r>
      <w:proofErr w:type="spellStart"/>
      <w:proofErr w:type="gramStart"/>
      <w:r>
        <w:t>beneficiary.fullName</w:t>
      </w:r>
      <w:proofErr w:type="spellEnd"/>
      <w:proofErr w:type="gramEnd"/>
      <w:r>
        <w:t>} has no then-living descendants, the Trustee shall distribute {</w:t>
      </w:r>
      <w:proofErr w:type="spellStart"/>
      <w:proofErr w:type="gramStart"/>
      <w:r>
        <w:t>beneficiary.fullName</w:t>
      </w:r>
      <w:proofErr w:type="spellEnd"/>
      <w:proofErr w:type="gramEnd"/>
      <w:r>
        <w:t xml:space="preserve">}'s share to the other beneficiaries in the same proportions as the other beneficiaries are entitled to receive distributions of the remaining trust property. If no other beneficiary is living or is entitled to </w:t>
      </w:r>
      <w:r>
        <w:lastRenderedPageBreak/>
        <w:t xml:space="preserve">receive a share, then the Trustee shall distribute as provided in Article </w:t>
      </w:r>
      <w:r>
        <w:t>6</w:t>
      </w:r>
      <w:r>
        <w:t>.</w:t>
      </w:r>
      <w:r>
        <w:br/>
      </w:r>
      <w:r>
        <w:br/>
        <w:t>{/</w:t>
      </w:r>
      <w:proofErr w:type="spellStart"/>
      <w:proofErr w:type="gramStart"/>
      <w:r>
        <w:t>beneficiary.hasAgeDistribution</w:t>
      </w:r>
      <w:proofErr w:type="spellEnd"/>
      <w:proofErr w:type="gramEnd"/>
      <w:r>
        <w:t>}{/beneficiaries}</w:t>
      </w:r>
    </w:p>
    <w:p w:rsidR="005751FA" w:rsidRPr="00C06EA9" w:rsidRDefault="005751FA" w:rsidP="005751FA">
      <w:pPr>
        <w:rPr>
          <w:rFonts w:ascii="Times New Roman" w:hAnsi="Times New Roman" w:cs="Times New Roman"/>
        </w:rPr>
      </w:pP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w:t>
      </w:r>
      <w:r w:rsidR="00C64524">
        <w:rPr>
          <w:rFonts w:ascii="Times New Roman" w:eastAsia="Times New Roman" w:hAnsi="Times New Roman" w:cs="Times New Roman"/>
          <w:b/>
          <w:bCs/>
          <w:kern w:val="0"/>
          <w:sz w:val="36"/>
          <w:szCs w:val="36"/>
          <w14:ligatures w14:val="none"/>
        </w:rPr>
        <w:t>ix</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w:t>
      </w:r>
      <w:r w:rsidRPr="00C06EA9">
        <w:rPr>
          <w:rFonts w:ascii="Times New Roman" w:eastAsia="Times New Roman" w:hAnsi="Times New Roman" w:cs="Times New Roman"/>
          <w:kern w:val="0"/>
          <w14:ligatures w14:val="none"/>
        </w:rPr>
        <w:lastRenderedPageBreak/>
        <w:t>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Any individual or corporate fiduciary that formerly served as the Trustee is entitled to reimbursement from the trust estate for any expenses, including attorney's fees and litigation costs reasonably incurred to defend any claim brought against the Trustee even if the Trustee's </w:t>
      </w:r>
      <w:r w:rsidRPr="00C06EA9">
        <w:rPr>
          <w:rFonts w:ascii="Times New Roman" w:eastAsia="Times New Roman" w:hAnsi="Times New Roman" w:cs="Times New Roman"/>
          <w:kern w:val="0"/>
          <w14:ligatures w14:val="none"/>
        </w:rPr>
        <w:lastRenderedPageBreak/>
        <w:t>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w:t>
      </w:r>
      <w:r w:rsidRPr="00C06EA9">
        <w:rPr>
          <w:rFonts w:ascii="Times New Roman" w:eastAsia="Times New Roman" w:hAnsi="Times New Roman" w:cs="Times New Roman"/>
          <w:kern w:val="0"/>
          <w14:ligatures w14:val="none"/>
        </w:rPr>
        <w:lastRenderedPageBreak/>
        <w:t>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w:t>
      </w:r>
      <w:r w:rsidRPr="00C06EA9">
        <w:rPr>
          <w:rFonts w:ascii="Times New Roman" w:eastAsia="Times New Roman" w:hAnsi="Times New Roman" w:cs="Times New Roman"/>
          <w:kern w:val="0"/>
          <w14:ligatures w14:val="none"/>
        </w:rP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w:t>
      </w:r>
      <w:r w:rsidRPr="00C06EA9">
        <w:rPr>
          <w:rFonts w:ascii="Times New Roman" w:eastAsia="Times New Roman" w:hAnsi="Times New Roman" w:cs="Times New Roman"/>
          <w:kern w:val="0"/>
          <w14:ligatures w14:val="none"/>
        </w:rPr>
        <w:lastRenderedPageBreak/>
        <w:t xml:space="preserve">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lastRenderedPageBreak/>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conduct environmental assessments, audits, or site monitoring; take remedial action to contain, clean up, or remove any hazardous substance including a spill, discharge, or contamination; 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contract with hired labor, tenants, or sharecroppers. The Trustee may construct, repair, and improve farm buildings, fences, and other farm or ranch structures, including 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w:t>
      </w:r>
      <w:r w:rsidRPr="00C06EA9">
        <w:rPr>
          <w:rFonts w:ascii="Times New Roman" w:eastAsia="Times New Roman" w:hAnsi="Times New Roman" w:cs="Times New Roman"/>
          <w:kern w:val="0"/>
          <w14:ligatures w14:val="none"/>
        </w:rPr>
        <w:lastRenderedPageBreak/>
        <w:t>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w:t>
      </w:r>
      <w:r w:rsidRPr="00C06EA9">
        <w:rPr>
          <w:rFonts w:ascii="Times New Roman" w:eastAsia="Times New Roman" w:hAnsi="Times New Roman" w:cs="Times New Roman"/>
          <w:kern w:val="0"/>
          <w14:ligatures w14:val="none"/>
        </w:rPr>
        <w:lastRenderedPageBreak/>
        <w:t>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lastRenderedPageBreak/>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convert the property referred to in this Section to income-producing property, except as required by other provisions of this trust. 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rsidRPr="00C06EA9">
        <w:rPr>
          <w:rFonts w:ascii="Times New Roman" w:eastAsia="Times New Roman" w:hAnsi="Times New Roman" w:cs="Times New Roman"/>
          <w:kern w:val="0"/>
          <w14:ligatures w14:val="none"/>
        </w:rPr>
        <w:lastRenderedPageBreak/>
        <w:t>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 beneficiary or any other person has the power to remove a Trustee, that Trustee may not exercise or participate in the exercise of discretion with respect to the distribution of income or </w:t>
      </w:r>
      <w:r w:rsidRPr="00C06EA9">
        <w:rPr>
          <w:rFonts w:ascii="Times New Roman" w:eastAsia="Times New Roman" w:hAnsi="Times New Roman" w:cs="Times New Roman"/>
          <w:kern w:val="0"/>
          <w14:ligatures w14:val="none"/>
        </w:rPr>
        <w:lastRenderedPageBreak/>
        <w:t>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Ten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lastRenderedPageBreak/>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t>
      </w:r>
      <w:r w:rsidRPr="00C06EA9">
        <w:rPr>
          <w:rFonts w:ascii="Times New Roman" w:eastAsia="Times New Roman" w:hAnsi="Times New Roman" w:cs="Times New Roman"/>
          <w:kern w:val="0"/>
          <w14:ligatures w14:val="none"/>
        </w:rPr>
        <w:lastRenderedPageBreak/>
        <w:t>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This trust is governed, construed, and administered according to the laws of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have executed this trust 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lastRenderedPageBreak/>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w:t>
      </w:r>
      <w:r>
        <w:lastRenderedPageBreak/>
        <w:t>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00D60A5C">
        <w:rPr>
          <w:rFonts w:ascii="Menlo" w:hAnsi="Menlo" w:cs="Menlo"/>
          <w:color w:val="000000"/>
          <w:kern w:val="0"/>
          <w:sz w:val="22"/>
          <w:szCs w:val="22"/>
        </w:rPr>
        <w:t xml:space="preserve"> </w:t>
      </w:r>
      <w:r>
        <w:t xml:space="preserve">before me, ______________________________ (here insert name and title of the officer), personally appeared {grantor1FullName}, who proved to me on the basis of </w:t>
      </w:r>
      <w:r>
        <w:lastRenderedPageBreak/>
        <w:t>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w:t>
      </w:r>
      <w:r>
        <w:lastRenderedPageBreak/>
        <w:t>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137681"/>
    <w:rsid w:val="001C736A"/>
    <w:rsid w:val="005751FA"/>
    <w:rsid w:val="00A40832"/>
    <w:rsid w:val="00BC096E"/>
    <w:rsid w:val="00C06EA9"/>
    <w:rsid w:val="00C64524"/>
    <w:rsid w:val="00CA59BA"/>
    <w:rsid w:val="00D60A5C"/>
    <w:rsid w:val="00DA1CE4"/>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17372</Words>
  <Characters>99022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2</cp:revision>
  <dcterms:created xsi:type="dcterms:W3CDTF">2025-11-01T17:01:00Z</dcterms:created>
  <dcterms:modified xsi:type="dcterms:W3CDTF">2025-11-01T17:01:00Z</dcterms:modified>
</cp:coreProperties>
</file>