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{/$last}{#$last}.{/$last}{/children}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{#successors}{^$first}{fullName}{^$last}, {/$last}{/$first}{/successors} to serve as my successor Personal Representatives.</w:t>
      </w:r>
    </w:p>
    {/hasMultipleSuccessors}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{#guardians}{^$first}{fullName}{^$last}, {/$last}{/$first}{/guardians}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and{/$last}{#$last}{/$last}{/hipaaAgents}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then{/$last}{#$last}{/$last}{/successors}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{#poaAgents}{^$first}{fullName}{^$last}, {/$last}{/$first}{/poaAgents} to serve as successor Attorney in Fact.</w:t>
      </w:r>
    </w:p>
    {/hasMultiplePoaAgents}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{#healthcareAgents}{^$first}{fullName}{^$last}, {/$last}{/$first}{/healthcareAgents} as alternate Health Care Agent, to exercise the powers and discretions set forth in this instrument.</w:t>
      </w:r>
    </w:p>
    {/hasMultipleHealthcareAgents}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{#guardians}{^$first}{fullName}{^$last}, {/$last}{/$first}{/guardians}{/hasMinorChildren}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