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7D71FA25" w14:textId="18966849" w:rsidR="000F1483" w:rsidRDefault="000F1483">
      <w:r>
        <w:t>{</w:t>
      </w:r>
      <w:proofErr w:type="spellStart"/>
      <w:r>
        <w:t>childrenTable</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 xml:space="preserve">During any </w:t>
      </w:r>
      <w:proofErr w:type="gramStart"/>
      <w:r>
        <w:t>period of time</w:t>
      </w:r>
      <w:proofErr w:type="gramEnd"/>
      <w:r>
        <w:t xml:space="preserv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 xml:space="preserve">These payments are discretionary with the Trustee.  The Trustee may make decisions on these payments without regard to any limitation on payment of the expenses and may make payments </w:t>
      </w:r>
      <w:r>
        <w:lastRenderedPageBreak/>
        <w:t>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w:t>
      </w:r>
      <w:r>
        <w:lastRenderedPageBreak/>
        <w:t>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w:t>
      </w:r>
      <w:r>
        <w:br/>
        <w:t>{/isRestatement}{^isRestatement}{/isRestatement}</w:t>
      </w:r>
    </w:p>
    <w:p w14:paraId="168B476F" w14:textId="06AA5DE2" w:rsidR="0089529B" w:rsidRDefault="00000000">
      <w:r>
        <w:rPr>
          <w:b/>
        </w:rPr>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 xml:space="preserve">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w:t>
      </w:r>
      <w:r>
        <w:lastRenderedPageBreak/>
        <w:t>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{beneficiary.dateOfBirth}{/}{^$last}; and.{/}</w:t>
      </w:r>
      <w:r>
        <w:br/>
        <w:t>{/}</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7.{sectionNumber}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r>
      <w:r>
        <w:lastRenderedPageBreak/>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F5FF5" w14:textId="77777777" w:rsidR="00E409A5" w:rsidRDefault="00E409A5">
      <w:pPr>
        <w:spacing w:after="0" w:line="240" w:lineRule="auto"/>
      </w:pPr>
      <w:r>
        <w:separator/>
      </w:r>
    </w:p>
  </w:endnote>
  <w:endnote w:type="continuationSeparator" w:id="0">
    <w:p w14:paraId="3CC8B5C6" w14:textId="77777777" w:rsidR="00E409A5" w:rsidRDefault="00E4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A8E62" w14:textId="77777777" w:rsidR="00E409A5" w:rsidRDefault="00E409A5">
      <w:pPr>
        <w:spacing w:after="0" w:line="240" w:lineRule="auto"/>
      </w:pPr>
      <w:r>
        <w:separator/>
      </w:r>
    </w:p>
  </w:footnote>
  <w:footnote w:type="continuationSeparator" w:id="0">
    <w:p w14:paraId="4E4258AC" w14:textId="77777777" w:rsidR="00E409A5" w:rsidRDefault="00E40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483"/>
    <w:rsid w:val="0015074B"/>
    <w:rsid w:val="0017006D"/>
    <w:rsid w:val="00223E4F"/>
    <w:rsid w:val="0029639D"/>
    <w:rsid w:val="002B20D0"/>
    <w:rsid w:val="00326F90"/>
    <w:rsid w:val="004A7C89"/>
    <w:rsid w:val="005A0B43"/>
    <w:rsid w:val="00830A0F"/>
    <w:rsid w:val="0089529B"/>
    <w:rsid w:val="009F6EE5"/>
    <w:rsid w:val="00AA1D8D"/>
    <w:rsid w:val="00B47730"/>
    <w:rsid w:val="00B93560"/>
    <w:rsid w:val="00CB0664"/>
    <w:rsid w:val="00D27B0D"/>
    <w:rsid w:val="00DC6063"/>
    <w:rsid w:val="00DF5C73"/>
    <w:rsid w:val="00E409A5"/>
    <w:rsid w:val="00E41A74"/>
    <w:rsid w:val="00E765DD"/>
    <w:rsid w:val="00EC3538"/>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18349</Words>
  <Characters>104592</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2025-10-26T20:53:00Z</dcterms:created>
  <dcterms:modified xsi:type="dcterms:W3CDTF">2025-10-26T20:53:00Z</dcterms:modified>
  <cp:category/>
</cp:coreProperties>
</file>