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Struktura organizacyjna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- sposób formalnej organizacji firmy, zestaw elementów (komórek organizacyjnych: stanowisk, działów, części wyodrębnionych przez samą firmę) i powiązań między nimi (przepływów informacji, formalnych podziałów obowiązków, przynależności itp.).</w:t>
      </w:r>
    </w:p>
    <w:p w:rsidR="00000000" w:rsidDel="00000000" w:rsidP="00000000" w:rsidRDefault="00000000" w:rsidRPr="00000000" w14:paraId="00000002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Typologia struktur: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ze względu na spiętrzenie i rozpiętość kierowania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struktury płaskie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- małe spiętrzenie kierowania, mała liczba szczebli kierowania przy stosunkowo dużej rozpiętości kierowania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struktury smukłe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- duże spiętrzenie kierowania, duża liczba szczebli kierowania przy stosunkowo małej rozpiętości kierowania</w:t>
      </w:r>
    </w:p>
    <w:p w:rsidR="00000000" w:rsidDel="00000000" w:rsidP="00000000" w:rsidRDefault="00000000" w:rsidRPr="00000000" w14:paraId="00000007">
      <w:pPr>
        <w:ind w:left="1440" w:firstLine="0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Lexend Medium" w:cs="Lexend Medium" w:eastAsia="Lexend Medium" w:hAnsi="Lexend Medium"/>
          <w:i w:val="1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i w:val="1"/>
          <w:sz w:val="20"/>
          <w:szCs w:val="20"/>
          <w:rtl w:val="0"/>
        </w:rPr>
        <w:t xml:space="preserve">Z punktu widzenia efektywności zarządzania lepsze są struktury płaskie</w:t>
      </w:r>
    </w:p>
    <w:p w:rsidR="00000000" w:rsidDel="00000000" w:rsidP="00000000" w:rsidRDefault="00000000" w:rsidRPr="00000000" w14:paraId="00000009">
      <w:pPr>
        <w:ind w:left="1440" w:firstLine="0"/>
        <w:rPr>
          <w:rFonts w:ascii="Lexend Medium" w:cs="Lexend Medium" w:eastAsia="Lexend Medium" w:hAnsi="Lexend Medium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Zalety i wady struktur płaskich i smukłych </w:t>
      </w:r>
    </w:p>
    <w:p w:rsidR="00000000" w:rsidDel="00000000" w:rsidP="00000000" w:rsidRDefault="00000000" w:rsidRPr="00000000" w14:paraId="0000000B">
      <w:pPr>
        <w:ind w:left="144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355"/>
        <w:gridCol w:w="2130"/>
        <w:gridCol w:w="2175"/>
        <w:tblGridChange w:id="0">
          <w:tblGrid>
            <w:gridCol w:w="2415"/>
            <w:gridCol w:w="2355"/>
            <w:gridCol w:w="213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Struktury płaskie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Struktury płaskie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Struktury smukłe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struktury smukłe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Zalety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Wady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Zalety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Krótsz drogi i czas przepływu informacji w kierunku pionowym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Mniejsze zniekształcenie przekazywanych informacji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Większa podatność na innowacje emitowane na szczeblach niższych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Lepsze warunki do wyzwalania inicjatywy oddolnej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Pełniejsze wykorzystanie możliwości kierowników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Niższe koszty utrzymania kadry kierowniczej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Łatwiejsza koordynacja pionowa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Lepsze warunki do </w:t>
            </w: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decentralizowania</w:t>
            </w: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 decyzji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Sprzyja bardziej globalnemu postrzeganiu działalności gospodarczej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Trudność w koordynacji poziomej poziomej (nawet w ramach jednej komórki organizacyjnej)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Brak większych rezerw kadry kierowniczej (ze względu na pełne wykorzystanie kierowników), mniejsza elastyczność w ustalaniu nietypowych zadań kierowniczych i terminów ich realizacji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Konieczność dokładnej regulacji zastępstw aktywnych i pasywnych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Mniejsze możliwości wykorzystania awansów pionowych jako elementu motywacji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Łatwiejsza koordynacja współdziałania niewielu pracowników w ramach jednej komórki organizacyjnej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Występowanie pewnych rezerw kierowniczych, co zwiększa się elastyczność ustalania nietypowych zadań kierowniczych i terminów ich realizacji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Większe możliwości wykorzystania awansów pionowych jako elementu motywacji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Łatwiejsza koordynacja pozioma na poszczególnych szczeblach zarządzania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Dłuższe drogi i czas przepływu informacji w kierunku pionowym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Większe zniekształcenie przekazywanych informacji w kierunku pionowym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Mniejsze możliwości “przebicia” innowacji emitowanych na niższych szczeblach i wymagających akceptacji na szczeblu wyższych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Mniejsze możliwości wyzwalania inicjatywy podwładnych i kształtowania ich samodzielności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Niepełne wykorzystanie kierowników (rozpiętość rzeczywista kierowania mniejsza od potencjalnej)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Wyższe koszty utrzymania kierowników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Trudności koordynacji współdziałania licznych jednostek organizacyjnych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 Medium" w:cs="Lexend Medium" w:eastAsia="Lexend Medium" w:hAnsi="Lexend Medium"/>
                <w:sz w:val="16"/>
                <w:szCs w:val="16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sz w:val="16"/>
                <w:szCs w:val="16"/>
                <w:rtl w:val="0"/>
              </w:rPr>
              <w:t xml:space="preserve">Sprzyja nadmiernej centralizacji decyzji 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ze względu na dominujące kryteria wyodrębnienia podstawowych układów organizacyjnych instytucji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funkcjonalne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u w:val="single"/>
          <w:rtl w:val="0"/>
        </w:rPr>
        <w:t xml:space="preserve">wynikające z podobieństwa czynności, zadań bądź stosowanych metod pracy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. Cechy: wyodrębnienie podstawowych jednostek organizacyjnych na podstawie podobieństwa realizowanych funkcji, racjonalizacja działalności w obrębie poszczególnych pionów organizacyjnych, rozwiązywanie problemów koordynacyjnych i integracyjnych przez wyodrębnienie kolejnych faz działalności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obiektowe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u w:val="single"/>
          <w:rtl w:val="0"/>
        </w:rPr>
        <w:t xml:space="preserve">wynikające z podobieństwa i specyfiki przedmiotu działalności, którym może być asortyment produkcji bądź usług, grupa wyrobów czy grupa klientów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. Cechy: ukierunkowania na specyficzny obiekt (wyrób/klient), izomorficzność (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różnorodzajowość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) struktury względem otoczenia, redukcja powiązań poziomych (większe możliwości decentralizacji decyzji oraz motywowania i kontroli), prócz podsystemów obiektowych występują także centralne komórki regulacyjne, wyższy stopień zdolności do absorpcji zakłóceń zewnętrznych, koncentracja kierownictwa na problemach długofalowych i strategicznych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regionalne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(przestrzenne) -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u w:val="single"/>
          <w:rtl w:val="0"/>
        </w:rPr>
        <w:t xml:space="preserve">wynikające ze specyfiki usytuowania przestrzennego wyodrębnionych jednostek organizacyjnych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. Cechy: zinstytucjonalizowana strategia organizacyjna z wyraźnym priorytetem integracji rynkowej, podsystemy regionalne posiadają własną strukturę, podsystemy regionalne są względnie autonomiczne (szeroki zakres uprawnień decyzyjnych), szczelny system zabezpieczeń przed zakłóceniami zewnętrznymi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ze względu na liczbę dominujących kryteriów strukturyzacji: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struktury macierzowe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(dwuwymiarowe) - dwa dominujące kryteria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struktury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tenzorowe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(trzy- i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więcejwymiarowe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) -  zasadzają się na większej liczbie dominujących i równorzędnych kryteriów strukturyzacji, w razie wykorzystania trzech dominujących kryteriów (np. funkcjonalnego, obiektowego, regionalnego) strukturyzacji powstaje struktura trójwymiarowa, synoptycznie przypominająca “kostkę”</w:t>
      </w:r>
    </w:p>
    <w:p w:rsidR="00000000" w:rsidDel="00000000" w:rsidP="00000000" w:rsidRDefault="00000000" w:rsidRPr="00000000" w14:paraId="0000004D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Wymiary struktur (cechy struktury organizacyjnej)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hierarchia organizacyjna - rozpiętość i spiętrzenie kierowania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dominujące więzi organizacyjne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Lexend Medium" w:cs="Lexend Medium" w:eastAsia="Lexend Medium" w:hAnsi="Lexend Medium"/>
          <w:sz w:val="20"/>
          <w:szCs w:val="20"/>
          <w:u w:val="none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liczba oraz rodzaje dominujących kryteriów wyodrębnienia podstawowych jednostek organizacyjnych</w:t>
      </w:r>
    </w:p>
    <w:p w:rsidR="00000000" w:rsidDel="00000000" w:rsidP="00000000" w:rsidRDefault="00000000" w:rsidRPr="00000000" w14:paraId="00000052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Budowa modelu struktury organizacyjnej: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W praktyce organizatorskiej i piśmiennictwie fachowym rozróżnia się w projektowaniu struktur organizacyjnych podejścia tzw. “odgórne” i “oddolne”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 podejściu oddolnym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punktem wyjścia modelowania struktury organizacyjnej jest kompleksowa i szczegółowa wizja zadań realizowanych przez przedsiębiorstwo. To na tle ustalonych zadań projektuje się relacje organizacyjne i określa podstawowe reguły organizacyjne.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Podejście oddolne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uznaje się za 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u w:val="single"/>
          <w:rtl w:val="0"/>
        </w:rPr>
        <w:t xml:space="preserve">bardziej poprawne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z merytorycznego punktu widzenia i lepiej odpowiadające istocie struktury organizacyjnej. Obejmuje trzy fazy (1)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dzielenia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- dezagregacji zadań, czyli podział pewnej wielkości na części, które w oparciu o pewne kryteria można połączyć w nowe całości, (2)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łączenia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 - wyodrębnienia i agregacji stanowisk oraz jednostek organizacyjnych i (3)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formalizacj</w:t>
      </w:r>
      <w:r w:rsidDel="00000000" w:rsidR="00000000" w:rsidRPr="00000000">
        <w:rPr>
          <w:rFonts w:ascii="Lexend Medium" w:cs="Lexend Medium" w:eastAsia="Lexend Medium" w:hAnsi="Lexend Medium"/>
          <w:sz w:val="20"/>
          <w:szCs w:val="20"/>
          <w:rtl w:val="0"/>
        </w:rPr>
        <w:t xml:space="preserve">i ustaleń organizacyjnych.</w:t>
      </w:r>
    </w:p>
    <w:p w:rsidR="00000000" w:rsidDel="00000000" w:rsidP="00000000" w:rsidRDefault="00000000" w:rsidRPr="00000000" w14:paraId="00000060">
      <w:pPr>
        <w:rPr>
          <w:rFonts w:ascii="Lexend Medium" w:cs="Lexend Medium" w:eastAsia="Lexend Medium" w:hAnsi="Lexend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