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633B" w14:textId="77777777" w:rsidR="00644F2F" w:rsidRPr="00644F2F" w:rsidRDefault="00644F2F" w:rsidP="00644F2F">
      <w:pPr>
        <w:spacing w:after="0" w:line="240" w:lineRule="auto"/>
        <w:rPr>
          <w:rFonts w:cs="Tahoma"/>
          <w:b/>
          <w:smallCaps/>
          <w:sz w:val="28"/>
          <w:szCs w:val="28"/>
        </w:rPr>
      </w:pPr>
      <w:r w:rsidRPr="00644F2F">
        <w:rPr>
          <w:rFonts w:cs="Tahoma"/>
          <w:b/>
          <w:smallCaps/>
          <w:sz w:val="28"/>
          <w:szCs w:val="28"/>
        </w:rPr>
        <w:t>Mierniki makroekonomiczne</w:t>
      </w:r>
    </w:p>
    <w:p w14:paraId="4E977DDD" w14:textId="77777777" w:rsidR="00644F2F" w:rsidRDefault="00644F2F" w:rsidP="00644F2F">
      <w:pPr>
        <w:rPr>
          <w:b/>
          <w:smallCaps/>
          <w:color w:val="548DD4"/>
        </w:rPr>
      </w:pPr>
    </w:p>
    <w:p w14:paraId="24C4604D" w14:textId="77777777" w:rsidR="00644F2F" w:rsidRPr="00C8150F" w:rsidRDefault="00644F2F" w:rsidP="00644F2F">
      <w:pPr>
        <w:pStyle w:val="Akapitzlist"/>
        <w:numPr>
          <w:ilvl w:val="1"/>
          <w:numId w:val="1"/>
        </w:numPr>
        <w:spacing w:line="240" w:lineRule="auto"/>
        <w:rPr>
          <w:b/>
        </w:rPr>
      </w:pPr>
      <w:r w:rsidRPr="00C8150F">
        <w:rPr>
          <w:b/>
        </w:rPr>
        <w:t>Systemy rachunków narodowych</w:t>
      </w:r>
    </w:p>
    <w:p w14:paraId="1CAF3BB9" w14:textId="77777777" w:rsidR="00644F2F" w:rsidRPr="00C8150F" w:rsidRDefault="00644F2F" w:rsidP="00644F2F">
      <w:pPr>
        <w:spacing w:after="0" w:line="240" w:lineRule="auto"/>
        <w:jc w:val="both"/>
      </w:pPr>
      <w:r w:rsidRPr="00C8150F">
        <w:t xml:space="preserve">W każdej gospodarce niezwykle istotne znaczenie odgrywa właściwy pomiar makroekonomiczny, obrazujący osiąganą wielkość globalnych efektów wytwórczych w określonej jednostce czasu. Dzięki niemu uzyskuje się możliwość obserwacji ogólnych procesów gospodarczych i konfrontowania ich z wcześniej przyjętymi celami polityki ekonomicznej państwa. Pomiar ekonomiczny jest rezultatem stosowania w praktyce </w:t>
      </w:r>
      <w:r w:rsidRPr="00C8150F">
        <w:rPr>
          <w:b/>
        </w:rPr>
        <w:t>systemu rachunków</w:t>
      </w:r>
      <w:r w:rsidRPr="00C8150F">
        <w:t xml:space="preserve"> </w:t>
      </w:r>
      <w:r w:rsidRPr="00C8150F">
        <w:rPr>
          <w:b/>
        </w:rPr>
        <w:t>narodowych</w:t>
      </w:r>
      <w:r w:rsidRPr="00C8150F">
        <w:t>.</w:t>
      </w:r>
    </w:p>
    <w:p w14:paraId="0992E235" w14:textId="77777777" w:rsidR="00644F2F" w:rsidRPr="00C8150F" w:rsidRDefault="00644F2F" w:rsidP="00644F2F">
      <w:pPr>
        <w:pStyle w:val="Nagwek8"/>
        <w:spacing w:after="0" w:line="240" w:lineRule="auto"/>
        <w:jc w:val="both"/>
        <w:rPr>
          <w:rFonts w:asciiTheme="minorHAnsi" w:hAnsiTheme="minorHAnsi"/>
          <w:b/>
          <w:i w:val="0"/>
          <w:sz w:val="22"/>
          <w:szCs w:val="22"/>
        </w:rPr>
      </w:pPr>
      <w:r w:rsidRPr="00C8150F">
        <w:rPr>
          <w:rFonts w:asciiTheme="minorHAnsi" w:hAnsiTheme="minorHAnsi"/>
          <w:b/>
          <w:i w:val="0"/>
          <w:sz w:val="22"/>
          <w:szCs w:val="22"/>
        </w:rPr>
        <w:t>W statystyce międzynarodowej występują dwa zunifikowane systemy rachunków narodowych:</w:t>
      </w:r>
    </w:p>
    <w:p w14:paraId="62FCAEFE" w14:textId="77777777" w:rsidR="00644F2F" w:rsidRPr="00C8150F" w:rsidRDefault="00644F2F" w:rsidP="00644F2F">
      <w:pPr>
        <w:spacing w:after="0" w:line="240" w:lineRule="auto"/>
      </w:pPr>
    </w:p>
    <w:p w14:paraId="12D238C4" w14:textId="77777777" w:rsidR="00644F2F" w:rsidRPr="00C8150F" w:rsidRDefault="00644F2F" w:rsidP="00644F2F">
      <w:pPr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C8150F">
        <w:rPr>
          <w:b/>
        </w:rPr>
        <w:t>MPS</w:t>
      </w:r>
      <w:r w:rsidRPr="00C8150F">
        <w:t xml:space="preserve"> – System Produkcji Materialnej (</w:t>
      </w:r>
      <w:proofErr w:type="spellStart"/>
      <w:r w:rsidRPr="00C8150F">
        <w:rPr>
          <w:i/>
        </w:rPr>
        <w:t>Material</w:t>
      </w:r>
      <w:proofErr w:type="spellEnd"/>
      <w:r w:rsidRPr="00C8150F">
        <w:rPr>
          <w:i/>
        </w:rPr>
        <w:t xml:space="preserve"> Product System</w:t>
      </w:r>
      <w:r w:rsidRPr="00C8150F">
        <w:t>)</w:t>
      </w:r>
    </w:p>
    <w:p w14:paraId="25D87FA9" w14:textId="77777777" w:rsidR="00644F2F" w:rsidRPr="00C8150F" w:rsidRDefault="00644F2F" w:rsidP="00644F2F">
      <w:pPr>
        <w:spacing w:after="0" w:line="240" w:lineRule="auto"/>
        <w:ind w:left="708"/>
        <w:jc w:val="both"/>
      </w:pPr>
      <w:r w:rsidRPr="00C8150F">
        <w:t xml:space="preserve">stosowany w krajach o gospodarce centralnie planowanej, opiera się na koncepcji pracy   produkcyjnej A. </w:t>
      </w:r>
      <w:proofErr w:type="spellStart"/>
      <w:r w:rsidRPr="00C8150F">
        <w:t>Smitha</w:t>
      </w:r>
      <w:proofErr w:type="spellEnd"/>
      <w:r w:rsidRPr="00C8150F">
        <w:t xml:space="preserve"> i K. Marksa , którzy uważali, że jedyną pracą, która wytwarza  dochód narodowy jest praca wydatkowana w sferze produkcji materialnej.</w:t>
      </w:r>
    </w:p>
    <w:p w14:paraId="7DA642AB" w14:textId="77777777" w:rsidR="00644F2F" w:rsidRPr="00C8150F" w:rsidRDefault="00644F2F" w:rsidP="00644F2F">
      <w:pPr>
        <w:spacing w:after="0" w:line="240" w:lineRule="auto"/>
        <w:jc w:val="both"/>
      </w:pPr>
    </w:p>
    <w:p w14:paraId="6E5896E0" w14:textId="77777777" w:rsidR="00644F2F" w:rsidRPr="00C8150F" w:rsidRDefault="00644F2F" w:rsidP="00644F2F">
      <w:pPr>
        <w:numPr>
          <w:ilvl w:val="0"/>
          <w:numId w:val="2"/>
        </w:numPr>
        <w:spacing w:after="0" w:line="240" w:lineRule="auto"/>
        <w:jc w:val="both"/>
      </w:pPr>
      <w:r w:rsidRPr="00C8150F">
        <w:rPr>
          <w:b/>
        </w:rPr>
        <w:t>SNA</w:t>
      </w:r>
      <w:r w:rsidRPr="00C8150F">
        <w:t xml:space="preserve"> – System Rachunków Narodowych (</w:t>
      </w:r>
      <w:r w:rsidRPr="00C8150F">
        <w:rPr>
          <w:i/>
        </w:rPr>
        <w:t xml:space="preserve">System of </w:t>
      </w:r>
      <w:proofErr w:type="spellStart"/>
      <w:r w:rsidRPr="00C8150F">
        <w:rPr>
          <w:i/>
        </w:rPr>
        <w:t>National</w:t>
      </w:r>
      <w:proofErr w:type="spellEnd"/>
      <w:r w:rsidRPr="00C8150F">
        <w:rPr>
          <w:i/>
        </w:rPr>
        <w:t xml:space="preserve"> </w:t>
      </w:r>
      <w:proofErr w:type="spellStart"/>
      <w:r w:rsidRPr="00C8150F">
        <w:rPr>
          <w:i/>
        </w:rPr>
        <w:t>Accounts</w:t>
      </w:r>
      <w:proofErr w:type="spellEnd"/>
      <w:r w:rsidRPr="00C8150F">
        <w:t xml:space="preserve">) </w:t>
      </w:r>
    </w:p>
    <w:p w14:paraId="57A0F9D9" w14:textId="77777777" w:rsidR="00644F2F" w:rsidRPr="00C8150F" w:rsidRDefault="00644F2F" w:rsidP="00644F2F">
      <w:pPr>
        <w:spacing w:after="0" w:line="240" w:lineRule="auto"/>
        <w:ind w:left="708"/>
        <w:jc w:val="both"/>
      </w:pPr>
      <w:r w:rsidRPr="00C8150F">
        <w:t xml:space="preserve">stosowany obecnie w większości krajów, opiera się na koncepcji pracy produkcyjnej J. B. </w:t>
      </w:r>
      <w:proofErr w:type="spellStart"/>
      <w:r w:rsidRPr="00C8150F">
        <w:t>Say’a</w:t>
      </w:r>
      <w:proofErr w:type="spellEnd"/>
      <w:r w:rsidRPr="00C8150F">
        <w:t>, który uważał, że każda praca społecznie użyteczna jest  pracą produkcyjną tworzącą dochód narodowy. Od MPS różni się tym, iż jego mierniki uwzględniają efekty sektora usług.</w:t>
      </w:r>
    </w:p>
    <w:p w14:paraId="559DD804" w14:textId="77777777" w:rsidR="00644F2F" w:rsidRPr="00C8150F" w:rsidRDefault="00644F2F" w:rsidP="00644F2F">
      <w:pPr>
        <w:spacing w:after="0" w:line="240" w:lineRule="auto"/>
        <w:jc w:val="both"/>
      </w:pPr>
    </w:p>
    <w:p w14:paraId="2374F7A8" w14:textId="77777777" w:rsidR="00644F2F" w:rsidRPr="00C8150F" w:rsidRDefault="00644F2F" w:rsidP="00644F2F">
      <w:pPr>
        <w:spacing w:after="0" w:line="240" w:lineRule="auto"/>
        <w:jc w:val="both"/>
      </w:pPr>
      <w:r w:rsidRPr="00C8150F">
        <w:t>SNA jest opublikowanym przez ONZ, po raz pierwszy w 1952 roku, zbiorem zasad pomiarów wyników pracy społeczeństwa. Najnowsza wersja pochodzi z 1993 roku.</w:t>
      </w:r>
    </w:p>
    <w:p w14:paraId="594DB894" w14:textId="77777777" w:rsidR="00644F2F" w:rsidRPr="00C8150F" w:rsidRDefault="00644F2F" w:rsidP="00644F2F">
      <w:pPr>
        <w:spacing w:after="0" w:line="240" w:lineRule="auto"/>
        <w:jc w:val="both"/>
      </w:pPr>
      <w:r w:rsidRPr="00C8150F">
        <w:t xml:space="preserve">Twórcami systemu są  Amerykanin S. </w:t>
      </w:r>
      <w:proofErr w:type="spellStart"/>
      <w:r w:rsidRPr="00C8150F">
        <w:t>Kuznetz</w:t>
      </w:r>
      <w:proofErr w:type="spellEnd"/>
      <w:r w:rsidRPr="00C8150F">
        <w:t xml:space="preserve"> (Nobel ’71) i Brytyjczyk R. </w:t>
      </w:r>
      <w:proofErr w:type="spellStart"/>
      <w:r w:rsidRPr="00C8150F">
        <w:t>Stone</w:t>
      </w:r>
      <w:proofErr w:type="spellEnd"/>
      <w:r w:rsidRPr="00C8150F">
        <w:t>.</w:t>
      </w:r>
    </w:p>
    <w:p w14:paraId="15AEE9B9" w14:textId="77777777" w:rsidR="00644F2F" w:rsidRPr="00C8150F" w:rsidRDefault="00644F2F" w:rsidP="00644F2F">
      <w:pPr>
        <w:spacing w:after="0" w:line="240" w:lineRule="auto"/>
        <w:jc w:val="both"/>
      </w:pPr>
    </w:p>
    <w:p w14:paraId="72491D85" w14:textId="77777777" w:rsidR="00644F2F" w:rsidRPr="00C8150F" w:rsidRDefault="00644F2F" w:rsidP="00644F2F">
      <w:pPr>
        <w:spacing w:after="0" w:line="240" w:lineRule="auto"/>
        <w:jc w:val="both"/>
        <w:rPr>
          <w:b/>
        </w:rPr>
      </w:pPr>
      <w:r w:rsidRPr="00C8150F">
        <w:t>W ramach systemu</w:t>
      </w:r>
      <w:r w:rsidRPr="00C8150F">
        <w:rPr>
          <w:b/>
        </w:rPr>
        <w:t xml:space="preserve"> SNA </w:t>
      </w:r>
      <w:r w:rsidRPr="00C8150F">
        <w:t>wyróżnia się następujące</w:t>
      </w:r>
      <w:r w:rsidRPr="00C8150F">
        <w:rPr>
          <w:b/>
        </w:rPr>
        <w:t xml:space="preserve"> miary poziomu działalności gospodarczej:</w:t>
      </w:r>
    </w:p>
    <w:p w14:paraId="79FE63CF" w14:textId="77777777" w:rsidR="00644F2F" w:rsidRPr="00C8150F" w:rsidRDefault="00644F2F" w:rsidP="00644F2F">
      <w:pPr>
        <w:spacing w:after="0" w:line="240" w:lineRule="auto"/>
        <w:jc w:val="both"/>
        <w:rPr>
          <w:color w:val="FF0000"/>
        </w:rPr>
      </w:pPr>
    </w:p>
    <w:p w14:paraId="2F47FD01" w14:textId="77777777" w:rsidR="00644F2F" w:rsidRPr="00C8150F" w:rsidRDefault="00644F2F" w:rsidP="00644F2F">
      <w:pPr>
        <w:numPr>
          <w:ilvl w:val="0"/>
          <w:numId w:val="3"/>
        </w:numPr>
        <w:spacing w:after="0" w:line="360" w:lineRule="auto"/>
        <w:jc w:val="both"/>
      </w:pPr>
      <w:r w:rsidRPr="00C8150F">
        <w:t>Miary ogólnej produkcji krajowej (</w:t>
      </w:r>
      <w:r w:rsidRPr="00C8150F">
        <w:rPr>
          <w:b/>
        </w:rPr>
        <w:t>PNB, PNN, PKB</w:t>
      </w:r>
      <w:r w:rsidRPr="00C8150F">
        <w:t>).</w:t>
      </w:r>
    </w:p>
    <w:p w14:paraId="77C1CC21" w14:textId="77777777" w:rsidR="00644F2F" w:rsidRPr="00C8150F" w:rsidRDefault="00644F2F" w:rsidP="00644F2F">
      <w:pPr>
        <w:numPr>
          <w:ilvl w:val="0"/>
          <w:numId w:val="3"/>
        </w:numPr>
        <w:spacing w:after="0" w:line="360" w:lineRule="auto"/>
        <w:jc w:val="both"/>
      </w:pPr>
      <w:r w:rsidRPr="00C8150F">
        <w:t>Miary poziomu dochodów i konsumpcji społecznej (</w:t>
      </w:r>
      <w:r w:rsidRPr="00C8150F">
        <w:rPr>
          <w:b/>
        </w:rPr>
        <w:t>DN</w:t>
      </w:r>
      <w:r w:rsidRPr="00C8150F">
        <w:t xml:space="preserve"> oraz </w:t>
      </w:r>
      <w:r w:rsidRPr="00C8150F">
        <w:rPr>
          <w:b/>
        </w:rPr>
        <w:t>DO</w:t>
      </w:r>
      <w:r w:rsidRPr="00C8150F">
        <w:t xml:space="preserve"> i </w:t>
      </w:r>
      <w:r w:rsidRPr="00C8150F">
        <w:rPr>
          <w:b/>
        </w:rPr>
        <w:t>DD</w:t>
      </w:r>
      <w:r w:rsidRPr="00C8150F">
        <w:t xml:space="preserve"> - miary siły nabywczej konsumentów przed i po opodatkowaniu).</w:t>
      </w:r>
    </w:p>
    <w:p w14:paraId="60C0F3BD" w14:textId="77777777" w:rsidR="00644F2F" w:rsidRPr="00C8150F" w:rsidRDefault="00644F2F" w:rsidP="00644F2F">
      <w:pPr>
        <w:numPr>
          <w:ilvl w:val="0"/>
          <w:numId w:val="3"/>
        </w:numPr>
        <w:spacing w:after="0" w:line="360" w:lineRule="auto"/>
        <w:jc w:val="both"/>
      </w:pPr>
      <w:r w:rsidRPr="00C8150F">
        <w:t>Miara trudności znalezienia pracy przez ludność (</w:t>
      </w:r>
      <w:r w:rsidRPr="00C8150F">
        <w:rPr>
          <w:b/>
        </w:rPr>
        <w:t>stopa bezrobocia</w:t>
      </w:r>
      <w:r w:rsidRPr="00C8150F">
        <w:t>).</w:t>
      </w:r>
    </w:p>
    <w:p w14:paraId="65538D46" w14:textId="77777777" w:rsidR="00644F2F" w:rsidRPr="00C8150F" w:rsidRDefault="00644F2F" w:rsidP="00644F2F">
      <w:pPr>
        <w:numPr>
          <w:ilvl w:val="0"/>
          <w:numId w:val="3"/>
        </w:numPr>
        <w:spacing w:after="0" w:line="360" w:lineRule="auto"/>
        <w:jc w:val="both"/>
      </w:pPr>
      <w:r w:rsidRPr="00C8150F">
        <w:t>Miara trwałego wzrostu ogólnego poziomu cen  (</w:t>
      </w:r>
      <w:r w:rsidRPr="00C8150F">
        <w:rPr>
          <w:b/>
        </w:rPr>
        <w:t>stopa inflacji</w:t>
      </w:r>
      <w:r w:rsidRPr="00C8150F">
        <w:t>).</w:t>
      </w:r>
    </w:p>
    <w:p w14:paraId="515F9AAF" w14:textId="77777777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5BBE06C3" w14:textId="0EB82D37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4AAB5373" w14:textId="29AD2CA9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7397069D" w14:textId="03E5B039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1DA61F80" w14:textId="09132C19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3F8F7035" w14:textId="7CD072C6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63D007BE" w14:textId="3EC600EE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4D1E7C6F" w14:textId="25987D3A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6608D7CF" w14:textId="7C4C13CF" w:rsidR="00644F2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0DA0F6D2" w14:textId="77777777" w:rsidR="00644F2F" w:rsidRPr="00C8150F" w:rsidRDefault="00644F2F" w:rsidP="00644F2F">
      <w:pPr>
        <w:pStyle w:val="Trekonspektu"/>
        <w:spacing w:line="360" w:lineRule="auto"/>
        <w:rPr>
          <w:rFonts w:asciiTheme="minorHAnsi" w:hAnsiTheme="minorHAnsi"/>
          <w:bCs/>
          <w:sz w:val="22"/>
          <w:szCs w:val="22"/>
        </w:rPr>
      </w:pPr>
    </w:p>
    <w:p w14:paraId="241642DB" w14:textId="77777777" w:rsidR="00644F2F" w:rsidRPr="00C8150F" w:rsidRDefault="00644F2F" w:rsidP="00644F2F">
      <w:pPr>
        <w:pStyle w:val="Tekstpodstawowy"/>
        <w:numPr>
          <w:ilvl w:val="1"/>
          <w:numId w:val="1"/>
        </w:numPr>
        <w:rPr>
          <w:rFonts w:asciiTheme="minorHAnsi" w:hAnsiTheme="minorHAnsi"/>
          <w:b/>
          <w:sz w:val="22"/>
          <w:szCs w:val="22"/>
        </w:rPr>
      </w:pPr>
      <w:r w:rsidRPr="00C8150F">
        <w:rPr>
          <w:rFonts w:asciiTheme="minorHAnsi" w:hAnsiTheme="minorHAnsi"/>
          <w:b/>
          <w:sz w:val="22"/>
          <w:szCs w:val="22"/>
        </w:rPr>
        <w:lastRenderedPageBreak/>
        <w:t xml:space="preserve">Miary ogólnej produkcji krajowej i mary poziomu dochodów </w:t>
      </w:r>
    </w:p>
    <w:p w14:paraId="050F8123" w14:textId="77777777" w:rsidR="00644F2F" w:rsidRPr="00C8150F" w:rsidRDefault="00644F2F" w:rsidP="00644F2F">
      <w:pPr>
        <w:pStyle w:val="Tekstpodstawowy"/>
        <w:ind w:left="1074"/>
        <w:rPr>
          <w:rFonts w:asciiTheme="minorHAnsi" w:hAnsiTheme="minorHAnsi"/>
          <w:b/>
          <w:sz w:val="22"/>
          <w:szCs w:val="22"/>
        </w:rPr>
      </w:pPr>
      <w:r w:rsidRPr="00C8150F">
        <w:rPr>
          <w:rFonts w:asciiTheme="minorHAnsi" w:hAnsiTheme="minorHAnsi"/>
          <w:b/>
          <w:sz w:val="22"/>
          <w:szCs w:val="22"/>
        </w:rPr>
        <w:t xml:space="preserve">     i konsumpcji społecznej</w:t>
      </w:r>
    </w:p>
    <w:p w14:paraId="3ED9CA52" w14:textId="77777777" w:rsidR="00644F2F" w:rsidRPr="00C8150F" w:rsidRDefault="00644F2F" w:rsidP="00644F2F">
      <w:pPr>
        <w:pStyle w:val="Tekstpodstawowy"/>
        <w:ind w:left="1074"/>
        <w:rPr>
          <w:rFonts w:asciiTheme="minorHAnsi" w:hAnsiTheme="minorHAnsi"/>
          <w:b/>
          <w:sz w:val="22"/>
          <w:szCs w:val="22"/>
        </w:rPr>
      </w:pPr>
    </w:p>
    <w:p w14:paraId="443384E1" w14:textId="77777777" w:rsidR="00644F2F" w:rsidRPr="00C8150F" w:rsidRDefault="00644F2F" w:rsidP="00644F2F">
      <w:pPr>
        <w:pStyle w:val="Tekstpodstawowy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C8150F">
        <w:rPr>
          <w:rFonts w:asciiTheme="minorHAnsi" w:hAnsiTheme="minorHAnsi"/>
          <w:sz w:val="22"/>
          <w:szCs w:val="22"/>
        </w:rPr>
        <w:t>PNB</w:t>
      </w:r>
    </w:p>
    <w:p w14:paraId="077D8475" w14:textId="77777777" w:rsidR="00644F2F" w:rsidRPr="00C8150F" w:rsidRDefault="00644F2F" w:rsidP="00644F2F">
      <w:pPr>
        <w:pStyle w:val="Tekstpodstawowy"/>
        <w:ind w:left="1080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8" w:space="0" w:color="A1B2CF"/>
          <w:left w:val="single" w:sz="8" w:space="0" w:color="A1B2CF"/>
          <w:bottom w:val="single" w:sz="8" w:space="0" w:color="A1B2CF"/>
          <w:right w:val="single" w:sz="8" w:space="0" w:color="A1B2CF"/>
        </w:tblBorders>
        <w:tblLayout w:type="fixed"/>
        <w:tblCellMar>
          <w:top w:w="227" w:type="dxa"/>
          <w:left w:w="170" w:type="dxa"/>
          <w:bottom w:w="227" w:type="dxa"/>
          <w:right w:w="170" w:type="dxa"/>
        </w:tblCellMar>
        <w:tblLook w:val="04A0" w:firstRow="1" w:lastRow="0" w:firstColumn="1" w:lastColumn="0" w:noHBand="0" w:noVBand="1"/>
      </w:tblPr>
      <w:tblGrid>
        <w:gridCol w:w="9210"/>
      </w:tblGrid>
      <w:tr w:rsidR="00644F2F" w:rsidRPr="00C8150F" w14:paraId="678F2D8A" w14:textId="77777777" w:rsidTr="00BE061A">
        <w:trPr>
          <w:cantSplit/>
        </w:trPr>
        <w:tc>
          <w:tcPr>
            <w:tcW w:w="9210" w:type="dxa"/>
            <w:shd w:val="clear" w:color="auto" w:fill="E8F6E8"/>
            <w:vAlign w:val="center"/>
          </w:tcPr>
          <w:p w14:paraId="754F3260" w14:textId="77777777" w:rsidR="00644F2F" w:rsidRPr="00C8150F" w:rsidRDefault="00644F2F" w:rsidP="00BE061A">
            <w:pPr>
              <w:spacing w:after="0" w:line="240" w:lineRule="auto"/>
              <w:ind w:left="851" w:hanging="851"/>
              <w:jc w:val="both"/>
            </w:pPr>
            <w:r w:rsidRPr="00C8150F">
              <w:rPr>
                <w:b/>
              </w:rPr>
              <w:t>PNB</w:t>
            </w:r>
            <w:r w:rsidRPr="00C8150F">
              <w:t xml:space="preserve"> = suma dochodów z </w:t>
            </w:r>
            <w:r w:rsidRPr="00C8150F">
              <w:rPr>
                <w:b/>
              </w:rPr>
              <w:t>czynników produkcji</w:t>
            </w:r>
            <w:r w:rsidRPr="00C8150F">
              <w:t xml:space="preserve"> (tj. kapitał, czas pracowników, ich zdolności i wysiłek, urządzenia, ziemia, budynki, wiedza) osiągniętych przez obywateli danego kraju.</w:t>
            </w:r>
          </w:p>
          <w:p w14:paraId="7A4C7DB7" w14:textId="77777777" w:rsidR="00644F2F" w:rsidRPr="00C8150F" w:rsidRDefault="00644F2F" w:rsidP="00BE061A">
            <w:pPr>
              <w:spacing w:after="0" w:line="240" w:lineRule="auto"/>
              <w:jc w:val="both"/>
            </w:pPr>
          </w:p>
          <w:p w14:paraId="637FC499" w14:textId="77777777" w:rsidR="00644F2F" w:rsidRPr="00C8150F" w:rsidRDefault="00644F2F" w:rsidP="00BE061A">
            <w:pPr>
              <w:spacing w:after="0" w:line="240" w:lineRule="auto"/>
              <w:ind w:left="851" w:hanging="851"/>
              <w:jc w:val="both"/>
            </w:pPr>
            <w:r w:rsidRPr="00C8150F">
              <w:rPr>
                <w:b/>
              </w:rPr>
              <w:t>PNB</w:t>
            </w:r>
            <w:r w:rsidRPr="00C8150F">
              <w:t xml:space="preserve"> = suma </w:t>
            </w:r>
            <w:r w:rsidRPr="00C8150F">
              <w:rPr>
                <w:b/>
              </w:rPr>
              <w:t>sprzedaży finalnej</w:t>
            </w:r>
            <w:r w:rsidRPr="00C8150F">
              <w:t xml:space="preserve"> netto (konsumentowi lub firmie w celu ostatecznego zużytkowania) zrealizowanej przez mieszkańców danego kraju.</w:t>
            </w:r>
          </w:p>
          <w:p w14:paraId="37A609CF" w14:textId="77777777" w:rsidR="00644F2F" w:rsidRPr="00C8150F" w:rsidRDefault="00644F2F" w:rsidP="00BE061A">
            <w:pPr>
              <w:spacing w:after="0" w:line="240" w:lineRule="auto"/>
              <w:jc w:val="both"/>
            </w:pPr>
          </w:p>
          <w:p w14:paraId="77D31713" w14:textId="77777777" w:rsidR="00644F2F" w:rsidRPr="00C8150F" w:rsidRDefault="00644F2F" w:rsidP="00BE061A">
            <w:pPr>
              <w:pStyle w:val="Tekstpodstawowy"/>
              <w:ind w:left="851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„Netto” oznacza, że należy wykluczyć nasz import, czyli sprzedaż przez zagranicznych właścicieli czynników produkcji. </w:t>
            </w:r>
          </w:p>
          <w:p w14:paraId="78291BAD" w14:textId="77777777" w:rsidR="00644F2F" w:rsidRPr="00C8150F" w:rsidRDefault="00644F2F" w:rsidP="00BE061A">
            <w:pPr>
              <w:pStyle w:val="Tekstpodstawowy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  <w:p w14:paraId="5C17ABB7" w14:textId="77777777" w:rsidR="00644F2F" w:rsidRPr="00C8150F" w:rsidRDefault="00644F2F" w:rsidP="00BE061A">
            <w:pPr>
              <w:pStyle w:val="Tekstpodstawowy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>PNB</w:t>
            </w: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 = suma </w:t>
            </w:r>
            <w:r w:rsidRPr="00C8150F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>wartości dodanej</w:t>
            </w: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 wytworzonej na każdym etapie procesu produkcji.</w:t>
            </w:r>
          </w:p>
          <w:p w14:paraId="13236CAA" w14:textId="77777777" w:rsidR="00644F2F" w:rsidRPr="00C8150F" w:rsidRDefault="00644F2F" w:rsidP="00BE061A">
            <w:pPr>
              <w:pStyle w:val="Tekstpodstawowy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  <w:p w14:paraId="510C7FC9" w14:textId="77777777" w:rsidR="00644F2F" w:rsidRPr="00C8150F" w:rsidRDefault="00644F2F" w:rsidP="00BE061A">
            <w:pPr>
              <w:pStyle w:val="Tekstpodstawowy"/>
              <w:ind w:left="851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>Wartość dodana firm – różnica między całkowitą sprzedażą (obrotem) a kosztami surowców, dóbr pośrednich (także z importu).</w:t>
            </w:r>
          </w:p>
        </w:tc>
      </w:tr>
    </w:tbl>
    <w:p w14:paraId="7AD2FA12" w14:textId="77777777" w:rsidR="00644F2F" w:rsidRPr="00C8150F" w:rsidRDefault="00644F2F" w:rsidP="00644F2F">
      <w:pPr>
        <w:pStyle w:val="Tekstpodstawowy"/>
        <w:rPr>
          <w:rFonts w:asciiTheme="minorHAnsi" w:hAnsiTheme="minorHAnsi"/>
          <w:b/>
          <w:sz w:val="22"/>
          <w:szCs w:val="22"/>
        </w:rPr>
      </w:pPr>
    </w:p>
    <w:p w14:paraId="0AD076CF" w14:textId="77777777" w:rsidR="00644F2F" w:rsidRPr="00C8150F" w:rsidRDefault="00644F2F" w:rsidP="00644F2F">
      <w:pPr>
        <w:pStyle w:val="Tekstpodstawowy"/>
        <w:rPr>
          <w:rFonts w:asciiTheme="minorHAnsi" w:hAnsiTheme="minorHAnsi"/>
          <w:b/>
          <w:sz w:val="22"/>
          <w:szCs w:val="22"/>
        </w:rPr>
      </w:pPr>
      <w:r w:rsidRPr="00C8150F">
        <w:rPr>
          <w:rFonts w:asciiTheme="minorHAnsi" w:hAnsiTheme="minorHAnsi"/>
          <w:b/>
          <w:sz w:val="22"/>
          <w:szCs w:val="22"/>
        </w:rPr>
        <w:t>Na PNB możemy spojrzeć jako na:</w:t>
      </w:r>
    </w:p>
    <w:p w14:paraId="7A6A96D2" w14:textId="77777777" w:rsidR="00644F2F" w:rsidRPr="00C8150F" w:rsidRDefault="00644F2F" w:rsidP="00644F2F">
      <w:pPr>
        <w:pStyle w:val="Tekstpodstawowy"/>
        <w:widowControl w:val="0"/>
        <w:numPr>
          <w:ilvl w:val="0"/>
          <w:numId w:val="4"/>
        </w:numPr>
        <w:suppressAutoHyphens/>
        <w:rPr>
          <w:rFonts w:asciiTheme="minorHAnsi" w:hAnsiTheme="minorHAnsi"/>
          <w:sz w:val="22"/>
          <w:szCs w:val="22"/>
        </w:rPr>
      </w:pPr>
      <w:r w:rsidRPr="00C8150F">
        <w:rPr>
          <w:rFonts w:asciiTheme="minorHAnsi" w:hAnsiTheme="minorHAnsi"/>
          <w:b/>
          <w:i/>
          <w:sz w:val="22"/>
          <w:szCs w:val="22"/>
        </w:rPr>
        <w:t xml:space="preserve">Strumień produktów </w:t>
      </w:r>
      <w:r w:rsidRPr="00C8150F">
        <w:rPr>
          <w:rFonts w:asciiTheme="minorHAnsi" w:hAnsiTheme="minorHAnsi"/>
          <w:sz w:val="22"/>
          <w:szCs w:val="22"/>
        </w:rPr>
        <w:t>- czyli sumę dóbr i usług finalnych, wyrażoną w bieżących cenach rynkowych.</w:t>
      </w:r>
    </w:p>
    <w:p w14:paraId="6628FC42" w14:textId="77777777" w:rsidR="00644F2F" w:rsidRPr="00C8150F" w:rsidRDefault="00644F2F" w:rsidP="00644F2F">
      <w:pPr>
        <w:pStyle w:val="Tekstpodstawowy"/>
        <w:widowControl w:val="0"/>
        <w:numPr>
          <w:ilvl w:val="0"/>
          <w:numId w:val="4"/>
        </w:numPr>
        <w:suppressAutoHyphens/>
        <w:rPr>
          <w:rFonts w:asciiTheme="minorHAnsi" w:hAnsiTheme="minorHAnsi"/>
          <w:sz w:val="22"/>
          <w:szCs w:val="22"/>
        </w:rPr>
      </w:pPr>
      <w:r w:rsidRPr="00C8150F">
        <w:rPr>
          <w:rFonts w:asciiTheme="minorHAnsi" w:hAnsiTheme="minorHAnsi"/>
          <w:b/>
          <w:i/>
          <w:sz w:val="22"/>
          <w:szCs w:val="22"/>
        </w:rPr>
        <w:t>Strumień dochodów i kosztów</w:t>
      </w:r>
      <w:r w:rsidRPr="00C8150F">
        <w:rPr>
          <w:rFonts w:asciiTheme="minorHAnsi" w:hAnsiTheme="minorHAnsi"/>
          <w:sz w:val="22"/>
          <w:szCs w:val="22"/>
        </w:rPr>
        <w:t xml:space="preserve"> - czyli sumę dochodów czynników wytwórczych (płac, procentów, rent i zysków), będących jednocześnie kosztami wytworzenia  dóbr finalnych w danym społeczeństwie. </w:t>
      </w:r>
    </w:p>
    <w:p w14:paraId="4D62677D" w14:textId="77777777" w:rsidR="00644F2F" w:rsidRPr="00C8150F" w:rsidRDefault="00644F2F" w:rsidP="00644F2F">
      <w:pPr>
        <w:pStyle w:val="Tekstpodstawowy"/>
        <w:ind w:left="708"/>
        <w:rPr>
          <w:rFonts w:asciiTheme="minorHAnsi" w:hAnsiTheme="minorHAnsi"/>
          <w:sz w:val="22"/>
          <w:szCs w:val="22"/>
        </w:rPr>
      </w:pPr>
      <w:r w:rsidRPr="00C8150F">
        <w:rPr>
          <w:rFonts w:asciiTheme="minorHAnsi" w:hAnsiTheme="minorHAnsi"/>
          <w:sz w:val="22"/>
          <w:szCs w:val="22"/>
        </w:rPr>
        <w:t>Zysk rozumiany jest tutaj jako reszta otrzymywana po odjęciu od rynkowej wartości sprzedaży dóbr i usług kosztów czynników produkcji. Zysk traktowany jest jako koszt.</w:t>
      </w:r>
    </w:p>
    <w:p w14:paraId="5328F562" w14:textId="77777777" w:rsidR="00644F2F" w:rsidRPr="00C8150F" w:rsidRDefault="00644F2F" w:rsidP="00644F2F">
      <w:pPr>
        <w:pStyle w:val="Tekstpodstawowy"/>
        <w:ind w:left="708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8" w:space="0" w:color="A1B2CF"/>
          <w:left w:val="single" w:sz="8" w:space="0" w:color="A1B2CF"/>
          <w:bottom w:val="single" w:sz="8" w:space="0" w:color="A1B2CF"/>
          <w:right w:val="single" w:sz="8" w:space="0" w:color="A1B2CF"/>
        </w:tblBorders>
        <w:tblLayout w:type="fixed"/>
        <w:tblCellMar>
          <w:top w:w="227" w:type="dxa"/>
          <w:left w:w="170" w:type="dxa"/>
          <w:bottom w:w="198" w:type="dxa"/>
          <w:right w:w="170" w:type="dxa"/>
        </w:tblCellMar>
        <w:tblLook w:val="04A0" w:firstRow="1" w:lastRow="0" w:firstColumn="1" w:lastColumn="0" w:noHBand="0" w:noVBand="1"/>
      </w:tblPr>
      <w:tblGrid>
        <w:gridCol w:w="9210"/>
      </w:tblGrid>
      <w:tr w:rsidR="00644F2F" w:rsidRPr="00C8150F" w14:paraId="47D6F332" w14:textId="77777777" w:rsidTr="00BE061A">
        <w:trPr>
          <w:cantSplit/>
        </w:trPr>
        <w:tc>
          <w:tcPr>
            <w:tcW w:w="9210" w:type="dxa"/>
            <w:shd w:val="clear" w:color="auto" w:fill="FCEEEE"/>
            <w:vAlign w:val="center"/>
          </w:tcPr>
          <w:p w14:paraId="655A9BAC" w14:textId="77777777" w:rsidR="00644F2F" w:rsidRPr="00C8150F" w:rsidRDefault="00644F2F" w:rsidP="00BE061A">
            <w:pPr>
              <w:pStyle w:val="Trekonspektu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C8150F">
              <w:rPr>
                <w:rFonts w:asciiTheme="minorHAnsi" w:eastAsia="Times New Roman" w:hAnsiTheme="minorHAnsi"/>
                <w:b/>
                <w:sz w:val="22"/>
                <w:szCs w:val="22"/>
              </w:rPr>
              <w:t>Zwróć uwagę</w:t>
            </w:r>
          </w:p>
          <w:p w14:paraId="601304FA" w14:textId="77777777" w:rsidR="00644F2F" w:rsidRPr="00C8150F" w:rsidRDefault="00644F2F" w:rsidP="00BE061A">
            <w:pPr>
              <w:spacing w:after="0" w:line="240" w:lineRule="auto"/>
              <w:jc w:val="both"/>
              <w:rPr>
                <w:b/>
              </w:rPr>
            </w:pPr>
            <w:r w:rsidRPr="00C8150F">
              <w:rPr>
                <w:b/>
              </w:rPr>
              <w:t>Wady PNB jako miernika dobrobytu społecznego:</w:t>
            </w:r>
          </w:p>
          <w:p w14:paraId="54B2CF73" w14:textId="77777777" w:rsidR="00644F2F" w:rsidRPr="00C8150F" w:rsidRDefault="00644F2F" w:rsidP="00BE061A">
            <w:pPr>
              <w:spacing w:after="0" w:line="240" w:lineRule="auto"/>
              <w:jc w:val="both"/>
              <w:rPr>
                <w:b/>
              </w:rPr>
            </w:pPr>
          </w:p>
          <w:p w14:paraId="6ACD4671" w14:textId="77777777" w:rsidR="00644F2F" w:rsidRPr="00C8150F" w:rsidRDefault="00644F2F" w:rsidP="00644F2F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C8150F">
              <w:t>PNB mierzony jest w cenach rynkowych, które w wielu przypadkach zawierają podatek pośredni, a zatem cena ta nie jest tą samą jaką otrzymuje sprzedawca danego dobra.</w:t>
            </w:r>
          </w:p>
          <w:p w14:paraId="60144AD2" w14:textId="77777777" w:rsidR="00644F2F" w:rsidRPr="00C8150F" w:rsidRDefault="00644F2F" w:rsidP="00644F2F">
            <w:pPr>
              <w:pStyle w:val="Nagwek8"/>
              <w:keepNext/>
              <w:numPr>
                <w:ilvl w:val="0"/>
                <w:numId w:val="2"/>
              </w:numPr>
              <w:spacing w:before="0" w:after="0" w:line="24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8150F">
              <w:rPr>
                <w:rFonts w:asciiTheme="minorHAnsi" w:hAnsiTheme="minorHAnsi"/>
                <w:sz w:val="22"/>
                <w:szCs w:val="22"/>
              </w:rPr>
              <w:t>PNB obejmuje wyłącznie dobra i usługi wytworzone w bieżącym okresie, a zatem - sprzedaż używanych samochodów, maszyn, budynków, dzieł sztuki itd. stanowi jedynie transfer dóbr, które były uwzględnione przy obliczaniu  PNB w latach ubiegłych.</w:t>
            </w:r>
          </w:p>
          <w:p w14:paraId="0587382E" w14:textId="77777777" w:rsidR="00644F2F" w:rsidRPr="00C8150F" w:rsidRDefault="00644F2F" w:rsidP="00644F2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C8150F">
              <w:t>Transakcje finansowe np. sprzedaż papierów wartościowych, emerytura, stanowią jedynie przejaw transferu własności, nie są przejawem nowej produkcji i nie są  wliczone do PNB.</w:t>
            </w:r>
          </w:p>
          <w:p w14:paraId="2F82E0AE" w14:textId="77777777" w:rsidR="00644F2F" w:rsidRPr="00C8150F" w:rsidRDefault="00644F2F" w:rsidP="00644F2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C8150F">
              <w:t xml:space="preserve">PNB nie ujmuje jedynie dobra i usługi finalne, wyklucza wartość pieniężną dóbr pośrednich (nabywanych w celu dalszej obróbki) stosowanych w procesie produkcji. </w:t>
            </w:r>
          </w:p>
          <w:p w14:paraId="4AF22DE1" w14:textId="77777777" w:rsidR="00644F2F" w:rsidRPr="00C8150F" w:rsidRDefault="00644F2F" w:rsidP="00644F2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C8150F">
              <w:t>PNB obejmuje również społeczne „zła” wynikające z produkcji, takie jak zanieczyszczenie środowiska, czy zatłoczenie ulic, jak również dobra służące ich usuwaniu.</w:t>
            </w:r>
          </w:p>
        </w:tc>
      </w:tr>
    </w:tbl>
    <w:p w14:paraId="1C3C9291" w14:textId="77777777" w:rsidR="00644F2F" w:rsidRDefault="00644F2F" w:rsidP="00644F2F">
      <w:pPr>
        <w:pStyle w:val="Nagwek9"/>
        <w:tabs>
          <w:tab w:val="left" w:pos="1350"/>
        </w:tabs>
        <w:spacing w:before="0"/>
        <w:jc w:val="both"/>
        <w:rPr>
          <w:rFonts w:asciiTheme="minorHAnsi" w:hAnsiTheme="minorHAnsi" w:cs="Tahoma"/>
          <w:b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</w:rPr>
        <w:tab/>
      </w:r>
    </w:p>
    <w:p w14:paraId="5ACF9080" w14:textId="77777777" w:rsidR="00644F2F" w:rsidRDefault="00644F2F" w:rsidP="00644F2F"/>
    <w:p w14:paraId="67E777CF" w14:textId="77777777" w:rsidR="00644F2F" w:rsidRPr="00C8150F" w:rsidRDefault="00644F2F" w:rsidP="00644F2F"/>
    <w:p w14:paraId="3E1FDE43" w14:textId="77777777" w:rsidR="00644F2F" w:rsidRPr="00C8150F" w:rsidRDefault="00644F2F" w:rsidP="00644F2F">
      <w:pPr>
        <w:pStyle w:val="Nagwek9"/>
        <w:spacing w:before="0"/>
        <w:jc w:val="both"/>
        <w:rPr>
          <w:rFonts w:asciiTheme="minorHAnsi" w:hAnsiTheme="minorHAnsi" w:cs="Tahoma"/>
          <w:b/>
          <w:sz w:val="22"/>
          <w:szCs w:val="22"/>
        </w:rPr>
      </w:pPr>
      <w:r w:rsidRPr="00C8150F">
        <w:rPr>
          <w:rFonts w:asciiTheme="minorHAnsi" w:hAnsiTheme="minorHAnsi" w:cs="Tahoma"/>
          <w:b/>
          <w:sz w:val="22"/>
          <w:szCs w:val="22"/>
        </w:rPr>
        <w:lastRenderedPageBreak/>
        <w:t>Metody obliczania PNB:</w:t>
      </w:r>
    </w:p>
    <w:p w14:paraId="679E8276" w14:textId="77777777" w:rsidR="00644F2F" w:rsidRPr="00C8150F" w:rsidRDefault="00644F2F" w:rsidP="00644F2F">
      <w:pPr>
        <w:spacing w:after="0" w:line="240" w:lineRule="auto"/>
        <w:jc w:val="center"/>
        <w:rPr>
          <w:rFonts w:cs="Tahoma"/>
        </w:rPr>
      </w:pPr>
      <w:r w:rsidRPr="00C8150F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EF368D1" wp14:editId="0B08FB30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381750" cy="3829050"/>
            <wp:effectExtent l="19050" t="0" r="0" b="0"/>
            <wp:wrapSquare wrapText="bothSides"/>
            <wp:docPr id="13" name="Obraz 4" descr="schemat06m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hemat06mc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FFC5B4" w14:textId="77777777" w:rsidR="00644F2F" w:rsidRPr="00C8150F" w:rsidRDefault="00644F2F" w:rsidP="00644F2F">
      <w:pPr>
        <w:spacing w:after="0" w:line="240" w:lineRule="auto"/>
        <w:jc w:val="center"/>
        <w:rPr>
          <w:b/>
          <w:color w:val="1F497D"/>
        </w:rPr>
      </w:pPr>
      <w:r w:rsidRPr="00C8150F">
        <w:rPr>
          <w:b/>
          <w:color w:val="1F497D"/>
        </w:rPr>
        <w:t>Prawa i lewa strona powinny być ze sobą zgodne.</w:t>
      </w:r>
    </w:p>
    <w:p w14:paraId="5D506640" w14:textId="77777777" w:rsidR="00644F2F" w:rsidRPr="00C8150F" w:rsidRDefault="00644F2F" w:rsidP="00644F2F">
      <w:pPr>
        <w:spacing w:after="0" w:line="240" w:lineRule="auto"/>
        <w:jc w:val="center"/>
        <w:rPr>
          <w:b/>
          <w:color w:val="1F497D"/>
        </w:rPr>
      </w:pPr>
    </w:p>
    <w:p w14:paraId="706F999C" w14:textId="77777777" w:rsidR="00644F2F" w:rsidRPr="00C8150F" w:rsidRDefault="00644F2F" w:rsidP="00644F2F">
      <w:pPr>
        <w:spacing w:after="0" w:line="240" w:lineRule="auto"/>
        <w:rPr>
          <w:b/>
        </w:rPr>
      </w:pPr>
      <w:r w:rsidRPr="00C8150F">
        <w:rPr>
          <w:b/>
        </w:rPr>
        <w:t xml:space="preserve">Zalety i wady PNB: </w:t>
      </w:r>
    </w:p>
    <w:p w14:paraId="0464F940" w14:textId="77777777" w:rsidR="00644F2F" w:rsidRPr="00C8150F" w:rsidRDefault="00644F2F" w:rsidP="00644F2F">
      <w:pPr>
        <w:spacing w:after="0" w:line="240" w:lineRule="auto"/>
      </w:pPr>
    </w:p>
    <w:tbl>
      <w:tblPr>
        <w:tblW w:w="9072" w:type="dxa"/>
        <w:jc w:val="center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644F2F" w:rsidRPr="00C8150F" w14:paraId="0847221A" w14:textId="77777777" w:rsidTr="00BE061A">
        <w:trPr>
          <w:trHeight w:val="567"/>
          <w:jc w:val="center"/>
        </w:trPr>
        <w:tc>
          <w:tcPr>
            <w:tcW w:w="4536" w:type="dxa"/>
            <w:tcBorders>
              <w:bottom w:val="single" w:sz="8" w:space="0" w:color="7F7F7F"/>
            </w:tcBorders>
            <w:shd w:val="clear" w:color="auto" w:fill="C9DEF9"/>
            <w:vAlign w:val="center"/>
          </w:tcPr>
          <w:p w14:paraId="30BABE3A" w14:textId="77777777" w:rsidR="00644F2F" w:rsidRPr="00C8150F" w:rsidRDefault="00644F2F" w:rsidP="00BE06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C8150F">
              <w:rPr>
                <w:b/>
                <w:bCs/>
                <w:color w:val="000000"/>
              </w:rPr>
              <w:t>Zalety PNB</w:t>
            </w:r>
          </w:p>
        </w:tc>
        <w:tc>
          <w:tcPr>
            <w:tcW w:w="4536" w:type="dxa"/>
            <w:tcBorders>
              <w:bottom w:val="single" w:sz="8" w:space="0" w:color="7F7F7F"/>
            </w:tcBorders>
            <w:shd w:val="clear" w:color="auto" w:fill="C9DEF9"/>
            <w:vAlign w:val="center"/>
          </w:tcPr>
          <w:p w14:paraId="072096D5" w14:textId="77777777" w:rsidR="00644F2F" w:rsidRPr="00C8150F" w:rsidRDefault="00644F2F" w:rsidP="00BE06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C8150F">
              <w:rPr>
                <w:b/>
                <w:bCs/>
                <w:color w:val="000000"/>
              </w:rPr>
              <w:t>Wady PNB</w:t>
            </w:r>
          </w:p>
        </w:tc>
      </w:tr>
      <w:tr w:rsidR="00644F2F" w:rsidRPr="00C8150F" w14:paraId="0FD0A712" w14:textId="77777777" w:rsidTr="00BE061A">
        <w:trPr>
          <w:trHeight w:val="567"/>
          <w:jc w:val="center"/>
        </w:trPr>
        <w:tc>
          <w:tcPr>
            <w:tcW w:w="4536" w:type="dxa"/>
            <w:shd w:val="clear" w:color="auto" w:fill="FFFFE1"/>
          </w:tcPr>
          <w:p w14:paraId="2BF4062E" w14:textId="77777777" w:rsidR="00644F2F" w:rsidRPr="00C8150F" w:rsidRDefault="00644F2F" w:rsidP="00BE061A">
            <w:pPr>
              <w:pStyle w:val="Tekstpodstawowy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PNB jest jedną z najlepszych miar jaką dysponujemy przy systematycznej ocenie sytuacji gospodarczej, między innymi dlatego, iż regularne przeprowadzanie i opracowywanie nierynkowej i nie rejestrowanej produkcji dóbr i „plag” oraz systematyczna wycena wartości czasu wolnego (np. w przypadku NEW), są trudne, kosztowne i często niemożliwe.       </w:t>
            </w:r>
          </w:p>
          <w:p w14:paraId="4B9DD82B" w14:textId="77777777" w:rsidR="00644F2F" w:rsidRPr="00C8150F" w:rsidRDefault="00644F2F" w:rsidP="00BE061A">
            <w:pPr>
              <w:pStyle w:val="Tekstpodstawowy"/>
              <w:jc w:val="left"/>
              <w:rPr>
                <w:rFonts w:asciiTheme="minorHAnsi" w:hAnsiTheme="minorHAnsi"/>
                <w:color w:val="FF0000"/>
                <w:sz w:val="22"/>
                <w:szCs w:val="22"/>
                <w:lang w:eastAsia="pl-PL"/>
              </w:rPr>
            </w:pPr>
          </w:p>
          <w:p w14:paraId="017AD213" w14:textId="77777777" w:rsidR="00644F2F" w:rsidRPr="00C8150F" w:rsidRDefault="00644F2F" w:rsidP="00BE061A">
            <w:pPr>
              <w:pStyle w:val="Tekstpodstawowy"/>
              <w:ind w:right="-5"/>
              <w:jc w:val="left"/>
              <w:rPr>
                <w:bCs/>
                <w:color w:val="000000"/>
              </w:rPr>
            </w:pPr>
            <w:r w:rsidRPr="00C8150F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 xml:space="preserve"> </w:t>
            </w:r>
          </w:p>
        </w:tc>
        <w:tc>
          <w:tcPr>
            <w:tcW w:w="4536" w:type="dxa"/>
            <w:shd w:val="clear" w:color="auto" w:fill="FFFFE1"/>
            <w:vAlign w:val="center"/>
          </w:tcPr>
          <w:p w14:paraId="5FD9DE52" w14:textId="77777777" w:rsidR="00644F2F" w:rsidRPr="00C8150F" w:rsidRDefault="00644F2F" w:rsidP="00BE061A">
            <w:pPr>
              <w:pStyle w:val="Tekstpodstawowy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>PNB zawiera wiele składników, które nie przyczyniają się w widoczny sposób do dobrobytu indywidualnego oraz pomija elementy dla tego dobrobytu istotne:</w:t>
            </w:r>
          </w:p>
          <w:p w14:paraId="4432CB34" w14:textId="77777777" w:rsidR="00644F2F" w:rsidRPr="00C8150F" w:rsidRDefault="00644F2F" w:rsidP="00BE061A">
            <w:pPr>
              <w:pStyle w:val="Tekstpodstawowy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  <w:p w14:paraId="6BAA5FE8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>Nie ujmuje produkcji, która nie jest przeznaczona na rynek oraz wyklucza nie    zarobkową działalność ludzi, z której wynoszą korzyści oni sami lub ich otoczenie.</w:t>
            </w:r>
          </w:p>
          <w:p w14:paraId="022E3535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ind w:left="36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  <w:p w14:paraId="41BBD159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>Nie ujmuje rezultatów gospodarki nieformalnej („szarej strefy”) – działalności nielegalnej oraz legalnej, nie rejestrowanej dla celów podatkowych.</w:t>
            </w:r>
          </w:p>
          <w:p w14:paraId="5D5B2BC8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  <w:p w14:paraId="0DAB9072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>Nie odzwierciedla znaczenia (wartości) czasu wolnego – ważnego elementu dobrobytu społecznego.</w:t>
            </w:r>
          </w:p>
          <w:p w14:paraId="09D11167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  <w:p w14:paraId="3495416F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lastRenderedPageBreak/>
              <w:t>Nie obejmuje renty konsumenta uzyskiwanej z dóbr trwałego użytku nagromadzonych wcześniej w gospodarstwach domowych.</w:t>
            </w:r>
          </w:p>
          <w:p w14:paraId="5CFC0ED2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  <w:p w14:paraId="4CD183C7" w14:textId="77777777" w:rsidR="00644F2F" w:rsidRPr="00C8150F" w:rsidRDefault="00644F2F" w:rsidP="00BE061A">
            <w:pPr>
              <w:pStyle w:val="Tekstpodstawowy"/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Ujmuje produkcję tzw. </w:t>
            </w:r>
            <w:proofErr w:type="spellStart"/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>antydóbr</w:t>
            </w:r>
            <w:proofErr w:type="spellEnd"/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 : </w:t>
            </w:r>
          </w:p>
          <w:p w14:paraId="1CB93BF1" w14:textId="77777777" w:rsidR="00644F2F" w:rsidRPr="00C8150F" w:rsidRDefault="00644F2F" w:rsidP="00644F2F">
            <w:pPr>
              <w:pStyle w:val="Tekstpodstawowy"/>
              <w:widowControl w:val="0"/>
              <w:numPr>
                <w:ilvl w:val="0"/>
                <w:numId w:val="6"/>
              </w:numPr>
              <w:suppressAutoHyphens/>
              <w:jc w:val="left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narkotyków, tytoniu, uzbrojenia, </w:t>
            </w:r>
          </w:p>
          <w:p w14:paraId="093D4D71" w14:textId="77777777" w:rsidR="00644F2F" w:rsidRPr="00C8150F" w:rsidRDefault="00644F2F" w:rsidP="00644F2F">
            <w:pPr>
              <w:pStyle w:val="Tekstpodstawowy"/>
              <w:widowControl w:val="0"/>
              <w:numPr>
                <w:ilvl w:val="0"/>
                <w:numId w:val="6"/>
              </w:numPr>
              <w:suppressAutoHyphens/>
              <w:jc w:val="left"/>
              <w:rPr>
                <w:rFonts w:asciiTheme="minorHAnsi" w:hAnsiTheme="minorHAnsi"/>
                <w:bCs/>
                <w:color w:val="000000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>efekty zewnętrzne działalności gospodarczej zakłócające środowisko naturalne człowieka  (zanieczyszczenia, hałas).</w:t>
            </w:r>
          </w:p>
        </w:tc>
      </w:tr>
    </w:tbl>
    <w:p w14:paraId="52A607CC" w14:textId="77777777" w:rsidR="00644F2F" w:rsidRPr="00C8150F" w:rsidRDefault="00644F2F" w:rsidP="00644F2F">
      <w:pPr>
        <w:pStyle w:val="Nagwek3"/>
        <w:spacing w:before="0"/>
        <w:rPr>
          <w:rFonts w:asciiTheme="minorHAnsi" w:hAnsiTheme="minorHAnsi"/>
          <w:color w:val="auto"/>
        </w:rPr>
      </w:pPr>
    </w:p>
    <w:p w14:paraId="46860808" w14:textId="77777777" w:rsidR="00644F2F" w:rsidRPr="00C8150F" w:rsidRDefault="00644F2F" w:rsidP="00644F2F">
      <w:pPr>
        <w:pStyle w:val="Tekstpodstawow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</w:t>
      </w:r>
      <w:r w:rsidRPr="00C8150F">
        <w:rPr>
          <w:rFonts w:asciiTheme="minorHAnsi" w:hAnsiTheme="minorHAnsi"/>
          <w:sz w:val="22"/>
          <w:szCs w:val="22"/>
        </w:rPr>
        <w:t>.2.2.  PKB</w:t>
      </w:r>
    </w:p>
    <w:p w14:paraId="1EEEFC77" w14:textId="77777777" w:rsidR="00644F2F" w:rsidRPr="00C8150F" w:rsidRDefault="00644F2F" w:rsidP="00644F2F">
      <w:pPr>
        <w:pStyle w:val="Tekstpodstawowy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8" w:space="0" w:color="A1B2CF"/>
          <w:left w:val="single" w:sz="8" w:space="0" w:color="A1B2CF"/>
          <w:bottom w:val="single" w:sz="8" w:space="0" w:color="A1B2CF"/>
          <w:right w:val="single" w:sz="8" w:space="0" w:color="A1B2CF"/>
        </w:tblBorders>
        <w:tblLayout w:type="fixed"/>
        <w:tblCellMar>
          <w:top w:w="227" w:type="dxa"/>
          <w:left w:w="170" w:type="dxa"/>
          <w:bottom w:w="227" w:type="dxa"/>
          <w:right w:w="170" w:type="dxa"/>
        </w:tblCellMar>
        <w:tblLook w:val="04A0" w:firstRow="1" w:lastRow="0" w:firstColumn="1" w:lastColumn="0" w:noHBand="0" w:noVBand="1"/>
      </w:tblPr>
      <w:tblGrid>
        <w:gridCol w:w="9210"/>
      </w:tblGrid>
      <w:tr w:rsidR="00644F2F" w:rsidRPr="00C8150F" w14:paraId="3DF95494" w14:textId="77777777" w:rsidTr="00BE061A">
        <w:trPr>
          <w:cantSplit/>
        </w:trPr>
        <w:tc>
          <w:tcPr>
            <w:tcW w:w="9210" w:type="dxa"/>
            <w:shd w:val="clear" w:color="auto" w:fill="E8F6E8"/>
            <w:vAlign w:val="center"/>
          </w:tcPr>
          <w:p w14:paraId="515827BD" w14:textId="77777777" w:rsidR="00644F2F" w:rsidRPr="00C8150F" w:rsidRDefault="00644F2F" w:rsidP="00BE061A">
            <w:pPr>
              <w:pStyle w:val="Tekstpodstawowy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C8150F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>Produkt krajowy brutto (PKB)</w:t>
            </w:r>
            <w:r w:rsidRPr="00C8150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 stanowi miarę produkcji wytworzonej przez czynniki wytwórcze zlokalizowane na terytorium danego kraju, niezależnie od tego, kto jest ich właścicielem.</w:t>
            </w:r>
          </w:p>
        </w:tc>
      </w:tr>
    </w:tbl>
    <w:p w14:paraId="212E8038" w14:textId="77777777" w:rsidR="00644F2F" w:rsidRPr="00C8150F" w:rsidRDefault="00644F2F" w:rsidP="00644F2F">
      <w:pPr>
        <w:pStyle w:val="Tekstpodstawowy"/>
        <w:rPr>
          <w:rFonts w:asciiTheme="minorHAnsi" w:hAnsiTheme="minorHAnsi"/>
          <w:color w:val="E36C0A"/>
          <w:sz w:val="22"/>
          <w:szCs w:val="22"/>
        </w:rPr>
      </w:pPr>
    </w:p>
    <w:p w14:paraId="0FF99EA4" w14:textId="77777777" w:rsidR="00644F2F" w:rsidRPr="00C8150F" w:rsidRDefault="00644F2F" w:rsidP="00644F2F">
      <w:pPr>
        <w:pStyle w:val="Tekstpodstawowy"/>
        <w:rPr>
          <w:rFonts w:asciiTheme="minorHAnsi" w:hAnsiTheme="minorHAnsi"/>
          <w:sz w:val="22"/>
          <w:szCs w:val="22"/>
        </w:rPr>
      </w:pPr>
      <w:r w:rsidRPr="00C8150F">
        <w:rPr>
          <w:rFonts w:asciiTheme="minorHAnsi" w:hAnsiTheme="minorHAnsi"/>
          <w:b/>
          <w:sz w:val="22"/>
          <w:szCs w:val="22"/>
        </w:rPr>
        <w:t>PNB</w:t>
      </w:r>
      <w:r w:rsidRPr="00C8150F">
        <w:rPr>
          <w:rFonts w:asciiTheme="minorHAnsi" w:hAnsiTheme="minorHAnsi"/>
          <w:sz w:val="22"/>
          <w:szCs w:val="22"/>
        </w:rPr>
        <w:t xml:space="preserve"> mierzy wartość dóbr i usług produkowanych przez </w:t>
      </w:r>
      <w:r>
        <w:rPr>
          <w:rFonts w:asciiTheme="minorHAnsi" w:hAnsiTheme="minorHAnsi"/>
          <w:sz w:val="22"/>
          <w:szCs w:val="22"/>
        </w:rPr>
        <w:t>obywateli</w:t>
      </w:r>
      <w:r w:rsidRPr="00C8150F">
        <w:rPr>
          <w:rFonts w:asciiTheme="minorHAnsi" w:hAnsiTheme="minorHAnsi"/>
          <w:sz w:val="22"/>
          <w:szCs w:val="22"/>
        </w:rPr>
        <w:t xml:space="preserve"> danego kraju.</w:t>
      </w:r>
    </w:p>
    <w:p w14:paraId="7647B930" w14:textId="77777777" w:rsidR="00644F2F" w:rsidRPr="00C8150F" w:rsidRDefault="00644F2F" w:rsidP="00644F2F">
      <w:pPr>
        <w:pStyle w:val="Tekstpodstawowy"/>
        <w:rPr>
          <w:rFonts w:asciiTheme="minorHAnsi" w:hAnsiTheme="minorHAnsi"/>
          <w:sz w:val="22"/>
          <w:szCs w:val="22"/>
        </w:rPr>
      </w:pPr>
      <w:r w:rsidRPr="00C8150F">
        <w:rPr>
          <w:rFonts w:asciiTheme="minorHAnsi" w:hAnsiTheme="minorHAnsi"/>
          <w:b/>
          <w:sz w:val="22"/>
          <w:szCs w:val="22"/>
        </w:rPr>
        <w:t>PKB</w:t>
      </w:r>
      <w:r w:rsidRPr="00C8150F">
        <w:rPr>
          <w:rFonts w:asciiTheme="minorHAnsi" w:hAnsiTheme="minorHAnsi"/>
          <w:sz w:val="22"/>
          <w:szCs w:val="22"/>
        </w:rPr>
        <w:t xml:space="preserve"> mierzy wartość dóbr i usług wytworzonych w obrębie granic danego kraju.</w:t>
      </w:r>
    </w:p>
    <w:p w14:paraId="38986ECF" w14:textId="77777777" w:rsidR="00644F2F" w:rsidRPr="00C8150F" w:rsidRDefault="00644F2F" w:rsidP="00644F2F">
      <w:pPr>
        <w:spacing w:after="0" w:line="240" w:lineRule="auto"/>
        <w:jc w:val="both"/>
        <w:rPr>
          <w:b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shd w:val="clear" w:color="auto" w:fill="FEF9C2"/>
        <w:tblLook w:val="04A0" w:firstRow="1" w:lastRow="0" w:firstColumn="1" w:lastColumn="0" w:noHBand="0" w:noVBand="1"/>
      </w:tblPr>
      <w:tblGrid>
        <w:gridCol w:w="7331"/>
      </w:tblGrid>
      <w:tr w:rsidR="00644F2F" w:rsidRPr="00C8150F" w14:paraId="71241F2B" w14:textId="77777777" w:rsidTr="00BE061A">
        <w:trPr>
          <w:trHeight w:val="301"/>
          <w:jc w:val="center"/>
        </w:trPr>
        <w:tc>
          <w:tcPr>
            <w:tcW w:w="7331" w:type="dxa"/>
            <w:shd w:val="clear" w:color="auto" w:fill="FEF9C2"/>
            <w:tcMar>
              <w:top w:w="113" w:type="dxa"/>
              <w:bottom w:w="113" w:type="dxa"/>
            </w:tcMar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115"/>
            </w:tblGrid>
            <w:tr w:rsidR="00644F2F" w:rsidRPr="00C8150F" w14:paraId="7F07C9CE" w14:textId="77777777" w:rsidTr="00BE061A">
              <w:trPr>
                <w:trHeight w:val="303"/>
                <w:jc w:val="center"/>
              </w:trPr>
              <w:tc>
                <w:tcPr>
                  <w:tcW w:w="8156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ADFC527" w14:textId="77777777" w:rsidR="00644F2F" w:rsidRPr="00C8150F" w:rsidRDefault="00644F2F" w:rsidP="00BE061A">
                  <w:pPr>
                    <w:pStyle w:val="Tekstpodstawowy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  <w:lang w:eastAsia="pl-PL"/>
                    </w:rPr>
                  </w:pPr>
                  <w:r w:rsidRPr="00C8150F">
                    <w:rPr>
                      <w:rFonts w:asciiTheme="minorHAnsi" w:hAnsiTheme="minorHAnsi"/>
                      <w:b/>
                      <w:sz w:val="22"/>
                      <w:szCs w:val="22"/>
                      <w:lang w:eastAsia="pl-PL"/>
                    </w:rPr>
                    <w:t>PNB = PKB + dochody netto z tytułu własności lub/i pracy za granicą</w:t>
                  </w:r>
                </w:p>
                <w:p w14:paraId="059B4DBA" w14:textId="77777777" w:rsidR="00644F2F" w:rsidRPr="00C8150F" w:rsidRDefault="00644F2F" w:rsidP="00BE061A">
                  <w:pPr>
                    <w:pStyle w:val="Tekstpodstawowy"/>
                    <w:rPr>
                      <w:rFonts w:asciiTheme="minorHAnsi" w:hAnsiTheme="minorHAnsi"/>
                      <w:b/>
                      <w:sz w:val="22"/>
                      <w:szCs w:val="22"/>
                      <w:lang w:eastAsia="pl-PL"/>
                    </w:rPr>
                  </w:pPr>
                </w:p>
                <w:p w14:paraId="320182E8" w14:textId="77777777" w:rsidR="00644F2F" w:rsidRPr="00C8150F" w:rsidRDefault="00644F2F" w:rsidP="00BE061A">
                  <w:pPr>
                    <w:pStyle w:val="Tekstpodstawowy"/>
                    <w:ind w:right="117"/>
                    <w:rPr>
                      <w:rFonts w:asciiTheme="minorHAnsi" w:hAnsiTheme="minorHAnsi"/>
                      <w:b/>
                      <w:sz w:val="22"/>
                      <w:szCs w:val="22"/>
                      <w:lang w:eastAsia="pl-PL"/>
                    </w:rPr>
                  </w:pPr>
                  <w:r w:rsidRPr="00C8150F">
                    <w:rPr>
                      <w:rFonts w:asciiTheme="minorHAnsi" w:hAnsiTheme="minorHAnsi"/>
                      <w:sz w:val="22"/>
                      <w:szCs w:val="22"/>
                      <w:lang w:eastAsia="pl-PL"/>
                    </w:rPr>
                    <w:t xml:space="preserve">(różnica między dochodami obywateli danego kraju uzyskanymi za granicą a odpływem dochodów z własności lub/i pracy należnych cudzoziemcom). </w:t>
                  </w:r>
                </w:p>
              </w:tc>
            </w:tr>
          </w:tbl>
          <w:p w14:paraId="68D5E7A2" w14:textId="77777777" w:rsidR="00644F2F" w:rsidRPr="00C8150F" w:rsidRDefault="00644F2F" w:rsidP="00BE061A">
            <w:pPr>
              <w:spacing w:after="0" w:line="240" w:lineRule="auto"/>
              <w:jc w:val="center"/>
              <w:rPr>
                <w:b/>
                <w:iCs/>
              </w:rPr>
            </w:pPr>
          </w:p>
        </w:tc>
      </w:tr>
    </w:tbl>
    <w:p w14:paraId="11CCB55A" w14:textId="77777777" w:rsidR="00644F2F" w:rsidRPr="00C8150F" w:rsidRDefault="00644F2F" w:rsidP="00644F2F">
      <w:pPr>
        <w:spacing w:after="0" w:line="240" w:lineRule="auto"/>
        <w:jc w:val="both"/>
      </w:pPr>
    </w:p>
    <w:p w14:paraId="7555F391" w14:textId="77777777" w:rsidR="00644F2F" w:rsidRPr="00C8150F" w:rsidRDefault="00644F2F" w:rsidP="00644F2F">
      <w:pPr>
        <w:pStyle w:val="Tekstpodstawowy"/>
        <w:rPr>
          <w:rFonts w:asciiTheme="minorHAnsi" w:hAnsiTheme="minorHAnsi"/>
          <w:sz w:val="22"/>
          <w:szCs w:val="22"/>
        </w:rPr>
      </w:pPr>
      <w:r w:rsidRPr="00C8150F">
        <w:rPr>
          <w:rFonts w:asciiTheme="minorHAnsi" w:hAnsiTheme="minorHAnsi"/>
          <w:sz w:val="22"/>
          <w:szCs w:val="22"/>
        </w:rPr>
        <w:t>Od 1991 r. PKB staje się miarą coraz bardziej docenianą ponieważ transakcje z zagranicą stają się coraz większą częścią działalności gospodarczej (wzrost otrzymywanych i wypłacanych dochodów), PNB jest zatem mniej wiarygodnym miernikiem.</w:t>
      </w:r>
    </w:p>
    <w:p w14:paraId="7D6DF284" w14:textId="77777777" w:rsidR="00644F2F" w:rsidRPr="00C8150F" w:rsidRDefault="00644F2F" w:rsidP="00644F2F">
      <w:pPr>
        <w:spacing w:line="240" w:lineRule="auto"/>
        <w:rPr>
          <w:rFonts w:cs="Tahoma"/>
        </w:rPr>
      </w:pPr>
      <w:r w:rsidRPr="00C8150F">
        <w:rPr>
          <w:rFonts w:cs="Tahoma"/>
          <w:noProof/>
          <w:lang w:eastAsia="pl-PL"/>
        </w:rPr>
        <w:drawing>
          <wp:inline distT="0" distB="0" distL="0" distR="0" wp14:anchorId="72990B38" wp14:editId="745058AE">
            <wp:extent cx="5438775" cy="3421746"/>
            <wp:effectExtent l="1905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2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DA111" w14:textId="77777777" w:rsidR="00644F2F" w:rsidRPr="00C8150F" w:rsidRDefault="00644F2F" w:rsidP="00644F2F">
      <w:pPr>
        <w:pStyle w:val="Nagwek2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bookmarkStart w:id="0" w:name="_Toc257192279"/>
      <w:r w:rsidRPr="00C8150F">
        <w:rPr>
          <w:rFonts w:asciiTheme="minorHAnsi" w:hAnsiTheme="minorHAnsi"/>
          <w:sz w:val="22"/>
          <w:szCs w:val="22"/>
        </w:rPr>
        <w:lastRenderedPageBreak/>
        <w:t xml:space="preserve">Miary dobrobytu </w:t>
      </w:r>
      <w:bookmarkEnd w:id="0"/>
      <w:r w:rsidRPr="00C8150F">
        <w:rPr>
          <w:rFonts w:asciiTheme="minorHAnsi" w:hAnsiTheme="minorHAnsi"/>
          <w:sz w:val="22"/>
          <w:szCs w:val="22"/>
        </w:rPr>
        <w:t>społecznego</w:t>
      </w:r>
    </w:p>
    <w:p w14:paraId="061917C5" w14:textId="77777777" w:rsidR="00644F2F" w:rsidRPr="00C8150F" w:rsidRDefault="00644F2F" w:rsidP="00644F2F">
      <w:pPr>
        <w:pStyle w:val="Trekonspektu"/>
        <w:rPr>
          <w:rFonts w:asciiTheme="minorHAnsi" w:hAnsiTheme="minorHAnsi"/>
          <w:sz w:val="22"/>
          <w:szCs w:val="22"/>
        </w:rPr>
      </w:pPr>
    </w:p>
    <w:p w14:paraId="0BB18728" w14:textId="77777777" w:rsidR="00644F2F" w:rsidRPr="00C8150F" w:rsidRDefault="00644F2F" w:rsidP="00644F2F">
      <w:pPr>
        <w:pStyle w:val="Tekstpodstawowy"/>
        <w:rPr>
          <w:rFonts w:asciiTheme="minorHAnsi" w:hAnsiTheme="minorHAnsi"/>
          <w:sz w:val="22"/>
          <w:szCs w:val="22"/>
        </w:rPr>
      </w:pPr>
      <w:r w:rsidRPr="00C8150F">
        <w:rPr>
          <w:rFonts w:asciiTheme="minorHAnsi" w:hAnsiTheme="minorHAnsi"/>
          <w:sz w:val="22"/>
          <w:szCs w:val="22"/>
        </w:rPr>
        <w:t>Wielu ekonomistów uważa, że PKB i PNB w roli miernika dobrobytu ekonomicznego rozczarowuje, ponieważ zawiera składniki, które nie przyczyniają się do dobrobytu indywidualnego oraz pomijają elementy dla dobrobytu kluczowe.</w:t>
      </w:r>
    </w:p>
    <w:p w14:paraId="349AD1EA" w14:textId="77777777" w:rsidR="00644F2F" w:rsidRPr="00C8150F" w:rsidRDefault="00644F2F" w:rsidP="00644F2F">
      <w:pPr>
        <w:pStyle w:val="Tekstpodstawowy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8" w:space="0" w:color="A1B2CF"/>
          <w:left w:val="single" w:sz="8" w:space="0" w:color="A1B2CF"/>
          <w:bottom w:val="single" w:sz="8" w:space="0" w:color="A1B2CF"/>
          <w:right w:val="single" w:sz="8" w:space="0" w:color="A1B2CF"/>
        </w:tblBorders>
        <w:tblLayout w:type="fixed"/>
        <w:tblCellMar>
          <w:top w:w="227" w:type="dxa"/>
          <w:left w:w="170" w:type="dxa"/>
          <w:bottom w:w="227" w:type="dxa"/>
          <w:right w:w="170" w:type="dxa"/>
        </w:tblCellMar>
        <w:tblLook w:val="04A0" w:firstRow="1" w:lastRow="0" w:firstColumn="1" w:lastColumn="0" w:noHBand="0" w:noVBand="1"/>
      </w:tblPr>
      <w:tblGrid>
        <w:gridCol w:w="9210"/>
      </w:tblGrid>
      <w:tr w:rsidR="00644F2F" w:rsidRPr="00C8150F" w14:paraId="1E18D4F1" w14:textId="77777777" w:rsidTr="00BE061A">
        <w:trPr>
          <w:cantSplit/>
        </w:trPr>
        <w:tc>
          <w:tcPr>
            <w:tcW w:w="9210" w:type="dxa"/>
            <w:shd w:val="clear" w:color="auto" w:fill="E8F6E8"/>
            <w:vAlign w:val="center"/>
          </w:tcPr>
          <w:p w14:paraId="3273C351" w14:textId="77777777" w:rsidR="00644F2F" w:rsidRPr="00C8150F" w:rsidRDefault="00644F2F" w:rsidP="00BE061A">
            <w:pPr>
              <w:spacing w:after="0" w:line="240" w:lineRule="auto"/>
              <w:jc w:val="both"/>
              <w:rPr>
                <w:color w:val="000000"/>
              </w:rPr>
            </w:pPr>
            <w:r w:rsidRPr="00C8150F">
              <w:rPr>
                <w:b/>
                <w:color w:val="000000"/>
              </w:rPr>
              <w:t>NEW</w:t>
            </w:r>
            <w:r w:rsidRPr="00C8150F">
              <w:rPr>
                <w:color w:val="000000"/>
              </w:rPr>
              <w:t xml:space="preserve"> </w:t>
            </w:r>
            <w:r w:rsidRPr="00C8150F">
              <w:t>(</w:t>
            </w:r>
            <w:r w:rsidRPr="00C8150F">
              <w:rPr>
                <w:i/>
              </w:rPr>
              <w:t xml:space="preserve">net </w:t>
            </w:r>
            <w:proofErr w:type="spellStart"/>
            <w:r w:rsidRPr="00C8150F">
              <w:rPr>
                <w:i/>
              </w:rPr>
              <w:t>economic</w:t>
            </w:r>
            <w:proofErr w:type="spellEnd"/>
            <w:r w:rsidRPr="00C8150F">
              <w:rPr>
                <w:i/>
              </w:rPr>
              <w:t xml:space="preserve"> </w:t>
            </w:r>
            <w:proofErr w:type="spellStart"/>
            <w:r w:rsidRPr="00C8150F">
              <w:rPr>
                <w:i/>
              </w:rPr>
              <w:t>welfare</w:t>
            </w:r>
            <w:proofErr w:type="spellEnd"/>
            <w:r w:rsidRPr="00C8150F">
              <w:t xml:space="preserve">) </w:t>
            </w:r>
            <w:r w:rsidRPr="00C8150F">
              <w:rPr>
                <w:color w:val="000000"/>
              </w:rPr>
              <w:t xml:space="preserve">jest miernikiem </w:t>
            </w:r>
            <w:r w:rsidRPr="00C8150F">
              <w:t>dobrobytu ekonomicznego</w:t>
            </w:r>
            <w:r w:rsidRPr="00C8150F">
              <w:rPr>
                <w:color w:val="000000"/>
              </w:rPr>
              <w:t xml:space="preserve"> opracowanym przez W. </w:t>
            </w:r>
            <w:proofErr w:type="spellStart"/>
            <w:r w:rsidRPr="00C8150F">
              <w:rPr>
                <w:color w:val="000000"/>
              </w:rPr>
              <w:t>Nordhausa</w:t>
            </w:r>
            <w:proofErr w:type="spellEnd"/>
            <w:r w:rsidRPr="00C8150F">
              <w:rPr>
                <w:color w:val="000000"/>
              </w:rPr>
              <w:t xml:space="preserve"> oraz J. </w:t>
            </w:r>
            <w:proofErr w:type="spellStart"/>
            <w:r w:rsidRPr="00C8150F">
              <w:rPr>
                <w:color w:val="000000"/>
              </w:rPr>
              <w:t>Tobina</w:t>
            </w:r>
            <w:proofErr w:type="spellEnd"/>
            <w:r w:rsidRPr="00C8150F">
              <w:rPr>
                <w:color w:val="000000"/>
              </w:rPr>
              <w:t xml:space="preserve"> w 1972 r. Jest to miara, która uwzględnia przy obliczaniu PNB nierynkowe dobra i straty w celu ustalenia lepszej miary jakości życia lub dobrobytu społecznego. </w:t>
            </w:r>
          </w:p>
        </w:tc>
      </w:tr>
    </w:tbl>
    <w:p w14:paraId="39ADE536" w14:textId="77777777" w:rsidR="00644F2F" w:rsidRPr="00C8150F" w:rsidRDefault="00644F2F" w:rsidP="00644F2F">
      <w:pPr>
        <w:spacing w:after="0" w:line="240" w:lineRule="auto"/>
        <w:jc w:val="both"/>
        <w:rPr>
          <w:color w:val="E36C0A"/>
        </w:rPr>
      </w:pPr>
    </w:p>
    <w:p w14:paraId="5F3F2347" w14:textId="77777777" w:rsidR="00644F2F" w:rsidRPr="00C8150F" w:rsidRDefault="00644F2F" w:rsidP="00644F2F">
      <w:pPr>
        <w:spacing w:after="0" w:line="240" w:lineRule="auto"/>
        <w:jc w:val="both"/>
        <w:rPr>
          <w:color w:val="000000"/>
        </w:rPr>
      </w:pPr>
      <w:r w:rsidRPr="00C8150F">
        <w:rPr>
          <w:color w:val="000000"/>
        </w:rPr>
        <w:t>NEW jest większy niż PNB, ale dynamika jego wzrostu jest niższa. Szacunki NEW są nieprecyzyjne i przybliżone, ale  ten miernik uświadamia niedoskonałość PNB.</w:t>
      </w:r>
    </w:p>
    <w:p w14:paraId="143952C2" w14:textId="77777777" w:rsidR="00644F2F" w:rsidRPr="00C8150F" w:rsidRDefault="00644F2F" w:rsidP="00644F2F">
      <w:pPr>
        <w:spacing w:after="0" w:line="240" w:lineRule="auto"/>
        <w:jc w:val="both"/>
        <w:rPr>
          <w:color w:val="000000"/>
        </w:rPr>
      </w:pPr>
    </w:p>
    <w:p w14:paraId="76288888" w14:textId="77777777" w:rsidR="00644F2F" w:rsidRPr="00C8150F" w:rsidRDefault="00644F2F" w:rsidP="00644F2F">
      <w:pPr>
        <w:spacing w:after="0" w:line="240" w:lineRule="auto"/>
        <w:jc w:val="both"/>
        <w:rPr>
          <w:color w:val="000000"/>
        </w:rPr>
      </w:pPr>
      <w:r w:rsidRPr="00C8150F">
        <w:rPr>
          <w:b/>
          <w:color w:val="000000"/>
        </w:rPr>
        <w:t>NEW koryguje PNB</w:t>
      </w:r>
      <w:r w:rsidRPr="00C8150F">
        <w:rPr>
          <w:color w:val="000000"/>
        </w:rPr>
        <w:t>:</w:t>
      </w:r>
    </w:p>
    <w:p w14:paraId="0C0AC21F" w14:textId="77777777" w:rsidR="00644F2F" w:rsidRPr="00C8150F" w:rsidRDefault="00644F2F" w:rsidP="00644F2F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b/>
          <w:color w:val="000000"/>
        </w:rPr>
      </w:pPr>
      <w:r w:rsidRPr="00C8150F">
        <w:rPr>
          <w:b/>
          <w:color w:val="000000"/>
        </w:rPr>
        <w:t xml:space="preserve">Dodaje do PNB wartość wszelkich działań prowadzonych na zasadzie „zrób to sam” oraz uwzględnia satysfakcję psychiczną związaną z czasem wolnym </w:t>
      </w:r>
      <w:r w:rsidRPr="00C8150F">
        <w:rPr>
          <w:color w:val="000000"/>
        </w:rPr>
        <w:t>(wartość czasu wolnego).</w:t>
      </w:r>
    </w:p>
    <w:p w14:paraId="13C5C45B" w14:textId="77777777" w:rsidR="00644F2F" w:rsidRPr="00C8150F" w:rsidRDefault="00644F2F" w:rsidP="00644F2F">
      <w:pPr>
        <w:spacing w:after="0" w:line="240" w:lineRule="auto"/>
        <w:ind w:left="720"/>
        <w:jc w:val="both"/>
        <w:rPr>
          <w:color w:val="000000"/>
        </w:rPr>
      </w:pPr>
    </w:p>
    <w:p w14:paraId="250A872A" w14:textId="77777777" w:rsidR="00644F2F" w:rsidRPr="00C8150F" w:rsidRDefault="00644F2F" w:rsidP="00644F2F">
      <w:pPr>
        <w:pStyle w:val="Tekstpodstawowy2"/>
        <w:spacing w:after="0" w:line="240" w:lineRule="auto"/>
        <w:ind w:left="720"/>
        <w:jc w:val="both"/>
      </w:pPr>
      <w:r w:rsidRPr="00C8150F">
        <w:t>Średnia liczba godzin przepracowana przez pracownika w ciągu tygodnia zmalała z 60 godzin w 1900 r. do ok. 40 godzin. Wartość czasu wolnego dzisiejszego pracownika (nie uwzględniona w PNB) przyczynia się do ogólnego dobrobytu. Gdyby jednak ludzie w dalszym ciągu pracowali tyle godzin, co niegdyś całkowita wartość produkcji kraju byłaby dużo wyższa.</w:t>
      </w:r>
    </w:p>
    <w:p w14:paraId="1FF02143" w14:textId="77777777" w:rsidR="00644F2F" w:rsidRPr="00C8150F" w:rsidRDefault="00644F2F" w:rsidP="00644F2F">
      <w:pPr>
        <w:pStyle w:val="Tekstpodstawowy2"/>
        <w:spacing w:after="0" w:line="240" w:lineRule="auto"/>
        <w:ind w:left="720"/>
        <w:jc w:val="both"/>
      </w:pPr>
    </w:p>
    <w:p w14:paraId="5A38DA5C" w14:textId="77777777" w:rsidR="00644F2F" w:rsidRPr="00C8150F" w:rsidRDefault="00644F2F" w:rsidP="00644F2F">
      <w:pPr>
        <w:pStyle w:val="Tekstpodstawowy2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b/>
          <w:color w:val="000000"/>
        </w:rPr>
      </w:pPr>
      <w:r w:rsidRPr="00C8150F">
        <w:rPr>
          <w:b/>
          <w:color w:val="000000"/>
        </w:rPr>
        <w:t>Odejmuje z PNB nie uwzględnione koszty obniżania poziomu życia.</w:t>
      </w:r>
    </w:p>
    <w:p w14:paraId="521DDF27" w14:textId="77777777" w:rsidR="00644F2F" w:rsidRPr="00C8150F" w:rsidRDefault="00644F2F" w:rsidP="00644F2F">
      <w:pPr>
        <w:pStyle w:val="Tekstpodstawowy2"/>
        <w:spacing w:after="0" w:line="240" w:lineRule="auto"/>
        <w:ind w:left="720"/>
        <w:jc w:val="both"/>
      </w:pPr>
      <w:r w:rsidRPr="00C8150F">
        <w:t>Są to koszty (koszt dla drzew, ryb, strumieni i rzek oraz ludzi, wynikający z zasiarczenia, wycieków ropy, kwaśnych deszczów itp.), których nie płaci np. elektrownia. Dla uwzględnienia tych ukrytych kosztów musimy przy obliczaniu NEW od określonej wysokości strumienia „dóbr” np. związanych z elektryfikacją odjąć określoną kwotę „zła” związanego ze skażeniem środowiska. Korekta ma miejsce także z uwagi  na koszty ponoszone z powodu urbanizacji i zatłoczenia miast.</w:t>
      </w:r>
    </w:p>
    <w:p w14:paraId="5F06ABF0" w14:textId="77777777" w:rsidR="00644F2F" w:rsidRPr="00C8150F" w:rsidRDefault="00644F2F" w:rsidP="00644F2F">
      <w:pPr>
        <w:pStyle w:val="Tekstpodstawowy2"/>
        <w:spacing w:after="0" w:line="240" w:lineRule="auto"/>
        <w:ind w:left="720"/>
        <w:jc w:val="both"/>
      </w:pPr>
    </w:p>
    <w:p w14:paraId="1DFF0F0D" w14:textId="77777777" w:rsidR="00644F2F" w:rsidRPr="00C8150F" w:rsidRDefault="00644F2F" w:rsidP="00644F2F">
      <w:pPr>
        <w:pStyle w:val="Tekstpodstawowy2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b/>
          <w:color w:val="000000"/>
        </w:rPr>
      </w:pPr>
      <w:r w:rsidRPr="00C8150F">
        <w:rPr>
          <w:b/>
          <w:color w:val="000000"/>
        </w:rPr>
        <w:t>Wyklucza z PNB niektóre usługi pośrednie</w:t>
      </w:r>
      <w:r w:rsidRPr="00C8150F">
        <w:rPr>
          <w:color w:val="000000"/>
        </w:rPr>
        <w:t xml:space="preserve"> (np. ochrona policyjna i przeciwpożarowa). </w:t>
      </w:r>
    </w:p>
    <w:p w14:paraId="5CF118AC" w14:textId="77777777" w:rsidR="00644F2F" w:rsidRPr="00C8150F" w:rsidRDefault="00644F2F" w:rsidP="00644F2F">
      <w:pPr>
        <w:pStyle w:val="Tekstpodstawowy2"/>
        <w:spacing w:after="0" w:line="240" w:lineRule="auto"/>
        <w:ind w:left="720"/>
        <w:jc w:val="both"/>
      </w:pPr>
      <w:r w:rsidRPr="00C8150F">
        <w:t>Uznaje się to za wadę NEW. Usługi te stanowią istotny element spokoju społecznego ważnego składnika dobrobytu społecznego, a zatem powinny być wliczane do PNB. Autorzy NEW podkreślają, że chodzi im o dobrobyt ekonomiczny, który jest pojęciem węższym niż dobrobyt społeczny, a w tym ujęciu ich konstrukcja jest poprawna.</w:t>
      </w:r>
    </w:p>
    <w:p w14:paraId="284C6C1B" w14:textId="77777777" w:rsidR="00644F2F" w:rsidRPr="00C8150F" w:rsidRDefault="00644F2F" w:rsidP="00644F2F">
      <w:pPr>
        <w:pStyle w:val="Tekstpodstawowy2"/>
        <w:spacing w:after="0" w:line="240" w:lineRule="auto"/>
        <w:ind w:left="720"/>
        <w:jc w:val="both"/>
      </w:pPr>
    </w:p>
    <w:p w14:paraId="16DC17AF" w14:textId="77777777" w:rsidR="00644F2F" w:rsidRPr="00C8150F" w:rsidRDefault="00644F2F" w:rsidP="00644F2F">
      <w:pPr>
        <w:pStyle w:val="Tekstpodstawowy2"/>
        <w:spacing w:after="0" w:line="240" w:lineRule="auto"/>
        <w:ind w:left="720"/>
        <w:jc w:val="both"/>
        <w:rPr>
          <w:b/>
        </w:rPr>
      </w:pPr>
      <w:r w:rsidRPr="00C8150F">
        <w:rPr>
          <w:b/>
        </w:rPr>
        <w:t>Inne miary dobrobytu społecznego:</w:t>
      </w:r>
    </w:p>
    <w:p w14:paraId="1485602E" w14:textId="77777777" w:rsidR="00644F2F" w:rsidRPr="00C8150F" w:rsidRDefault="00644F2F" w:rsidP="00644F2F">
      <w:pPr>
        <w:pStyle w:val="Tekstpodstawowy2"/>
        <w:spacing w:after="0" w:line="240" w:lineRule="auto"/>
        <w:jc w:val="both"/>
        <w:rPr>
          <w:rFonts w:eastAsia="+mn-ea"/>
        </w:rPr>
      </w:pPr>
      <w:r w:rsidRPr="00C8150F">
        <w:t xml:space="preserve">           ● Indeks zadowolenia z opracowany (</w:t>
      </w:r>
      <w:proofErr w:type="spellStart"/>
      <w:r w:rsidRPr="00C8150F">
        <w:t>Satisfaction</w:t>
      </w:r>
      <w:proofErr w:type="spellEnd"/>
      <w:r w:rsidRPr="00C8150F">
        <w:t xml:space="preserve"> With Life Indeks)</w:t>
      </w:r>
      <w:r w:rsidRPr="00C8150F">
        <w:rPr>
          <w:rFonts w:eastAsia="+mj-ea"/>
          <w:b/>
          <w:bCs/>
          <w:i/>
          <w:iCs/>
          <w:smallCaps/>
        </w:rPr>
        <w:t xml:space="preserve">, </w:t>
      </w:r>
      <w:r w:rsidRPr="00C8150F">
        <w:t>o</w:t>
      </w:r>
      <w:r w:rsidRPr="00C8150F">
        <w:rPr>
          <w:rFonts w:eastAsia="+mn-ea"/>
        </w:rPr>
        <w:t xml:space="preserve">pracowany </w:t>
      </w:r>
    </w:p>
    <w:p w14:paraId="5BC782C0" w14:textId="77777777" w:rsidR="00644F2F" w:rsidRPr="00C8150F" w:rsidRDefault="00644F2F" w:rsidP="00644F2F">
      <w:pPr>
        <w:pStyle w:val="Tekstpodstawowy2"/>
        <w:spacing w:after="0" w:line="240" w:lineRule="auto"/>
        <w:jc w:val="both"/>
        <w:rPr>
          <w:rFonts w:eastAsia="+mn-ea"/>
        </w:rPr>
      </w:pPr>
      <w:r w:rsidRPr="00C8150F">
        <w:rPr>
          <w:rFonts w:eastAsia="+mn-ea"/>
        </w:rPr>
        <w:t xml:space="preserve">              przez Adriana G. </w:t>
      </w:r>
      <w:proofErr w:type="spellStart"/>
      <w:r w:rsidRPr="00C8150F">
        <w:rPr>
          <w:rFonts w:eastAsia="+mn-ea"/>
        </w:rPr>
        <w:t>Whitea</w:t>
      </w:r>
      <w:proofErr w:type="spellEnd"/>
      <w:r w:rsidRPr="00C8150F">
        <w:rPr>
          <w:rFonts w:eastAsia="+mn-ea"/>
        </w:rPr>
        <w:t xml:space="preserve"> z Uniwersytetu z Leicester.</w:t>
      </w:r>
    </w:p>
    <w:p w14:paraId="0FEFE8E1" w14:textId="77777777" w:rsidR="00644F2F" w:rsidRPr="00C8150F" w:rsidRDefault="00644F2F" w:rsidP="00644F2F">
      <w:pPr>
        <w:pStyle w:val="Tekstpodstawowy2"/>
        <w:spacing w:after="0" w:line="240" w:lineRule="auto"/>
        <w:jc w:val="both"/>
        <w:rPr>
          <w:rFonts w:eastAsia="+mn-ea"/>
        </w:rPr>
      </w:pPr>
      <w:r w:rsidRPr="00C8150F">
        <w:rPr>
          <w:rFonts w:eastAsia="+mn-ea"/>
        </w:rPr>
        <w:t xml:space="preserve">           ● HDI - Wskaźnik Rozwoju Społecznego (Human Development Index), opracowany</w:t>
      </w:r>
    </w:p>
    <w:p w14:paraId="01C5AD26" w14:textId="77777777" w:rsidR="00644F2F" w:rsidRPr="00C8150F" w:rsidRDefault="00644F2F" w:rsidP="00644F2F">
      <w:pPr>
        <w:pStyle w:val="Tekstpodstawowy2"/>
        <w:spacing w:after="0" w:line="240" w:lineRule="auto"/>
        <w:jc w:val="both"/>
        <w:rPr>
          <w:rFonts w:eastAsia="+mn-ea"/>
        </w:rPr>
      </w:pPr>
      <w:r w:rsidRPr="00C8150F">
        <w:rPr>
          <w:rFonts w:eastAsia="+mn-ea"/>
        </w:rPr>
        <w:t xml:space="preserve">              w roku 1990 przez pakistańskiego ekonomistę </w:t>
      </w:r>
      <w:proofErr w:type="spellStart"/>
      <w:r w:rsidRPr="00C8150F">
        <w:rPr>
          <w:rFonts w:eastAsia="+mn-ea"/>
        </w:rPr>
        <w:t>Mahbuba</w:t>
      </w:r>
      <w:proofErr w:type="spellEnd"/>
      <w:r w:rsidRPr="00C8150F">
        <w:rPr>
          <w:rFonts w:eastAsia="+mn-ea"/>
        </w:rPr>
        <w:t xml:space="preserve"> ul </w:t>
      </w:r>
      <w:proofErr w:type="spellStart"/>
      <w:r w:rsidRPr="00C8150F">
        <w:rPr>
          <w:rFonts w:eastAsia="+mn-ea"/>
        </w:rPr>
        <w:t>Haqa</w:t>
      </w:r>
      <w:proofErr w:type="spellEnd"/>
      <w:r w:rsidRPr="00C8150F">
        <w:rPr>
          <w:rFonts w:eastAsia="+mn-ea"/>
        </w:rPr>
        <w:t xml:space="preserve">. </w:t>
      </w:r>
    </w:p>
    <w:p w14:paraId="17904121" w14:textId="77777777" w:rsidR="00644F2F" w:rsidRPr="00C8150F" w:rsidRDefault="00644F2F" w:rsidP="00644F2F">
      <w:pPr>
        <w:pStyle w:val="Tekstpodstawowy2"/>
        <w:spacing w:after="0" w:line="240" w:lineRule="auto"/>
        <w:jc w:val="both"/>
      </w:pPr>
      <w:r w:rsidRPr="00C8150F">
        <w:rPr>
          <w:rFonts w:eastAsia="+mn-ea"/>
        </w:rPr>
        <w:t xml:space="preserve">           </w:t>
      </w:r>
      <w:r w:rsidRPr="00C8150F">
        <w:t xml:space="preserve"> ● HPI - Wskaźnik Szczęśliwej Planety (Happy Planet Index), zaproponowany w 2006</w:t>
      </w:r>
    </w:p>
    <w:p w14:paraId="141F5CEB" w14:textId="77777777" w:rsidR="00644F2F" w:rsidRPr="00C8150F" w:rsidRDefault="00644F2F" w:rsidP="00644F2F">
      <w:pPr>
        <w:pStyle w:val="Tekstpodstawowy2"/>
        <w:spacing w:after="0" w:line="240" w:lineRule="auto"/>
        <w:jc w:val="both"/>
        <w:rPr>
          <w:lang w:val="en-US"/>
        </w:rPr>
      </w:pPr>
      <w:r w:rsidRPr="00C8150F">
        <w:t xml:space="preserve">                </w:t>
      </w:r>
      <w:proofErr w:type="spellStart"/>
      <w:r w:rsidRPr="00C8150F">
        <w:rPr>
          <w:lang w:val="en-US"/>
        </w:rPr>
        <w:t>roku</w:t>
      </w:r>
      <w:proofErr w:type="spellEnd"/>
      <w:r w:rsidRPr="00C8150F">
        <w:rPr>
          <w:lang w:val="en-US"/>
        </w:rPr>
        <w:t xml:space="preserve">  </w:t>
      </w:r>
      <w:proofErr w:type="spellStart"/>
      <w:r w:rsidRPr="00C8150F">
        <w:rPr>
          <w:lang w:val="en-US"/>
        </w:rPr>
        <w:t>przez</w:t>
      </w:r>
      <w:proofErr w:type="spellEnd"/>
      <w:r w:rsidRPr="00C8150F">
        <w:rPr>
          <w:lang w:val="en-US"/>
        </w:rPr>
        <w:t xml:space="preserve"> New Economics Foundation (NEF).  </w:t>
      </w:r>
    </w:p>
    <w:p w14:paraId="123C6A42" w14:textId="77777777" w:rsidR="00644F2F" w:rsidRPr="00C8150F" w:rsidRDefault="00644F2F" w:rsidP="00644F2F">
      <w:pPr>
        <w:pStyle w:val="Tekstpodstawowy2"/>
        <w:spacing w:after="0" w:line="240" w:lineRule="auto"/>
        <w:jc w:val="both"/>
      </w:pPr>
      <w:r w:rsidRPr="005E0B4F">
        <w:rPr>
          <w:lang w:val="en-US"/>
        </w:rPr>
        <w:t xml:space="preserve">           </w:t>
      </w:r>
      <w:r w:rsidRPr="00C8150F">
        <w:t>● Indeks Big Maca - nieformalny wskaźnik siły nabywczej walut wprowadzony przez</w:t>
      </w:r>
    </w:p>
    <w:p w14:paraId="32C51302" w14:textId="77777777" w:rsidR="00644F2F" w:rsidRPr="00C8150F" w:rsidRDefault="00644F2F" w:rsidP="00644F2F">
      <w:pPr>
        <w:pStyle w:val="Tekstpodstawowy2"/>
        <w:spacing w:after="0" w:line="240" w:lineRule="auto"/>
        <w:jc w:val="both"/>
      </w:pPr>
      <w:r w:rsidRPr="00C8150F">
        <w:t xml:space="preserve">              miesięcznik "The </w:t>
      </w:r>
      <w:proofErr w:type="spellStart"/>
      <w:r w:rsidRPr="00C8150F">
        <w:t>Economist</w:t>
      </w:r>
      <w:proofErr w:type="spellEnd"/>
      <w:r w:rsidRPr="00C8150F">
        <w:t xml:space="preserve">" w 1986 r. Porównanie cen słynnego hamburgera na </w:t>
      </w:r>
    </w:p>
    <w:p w14:paraId="4D7713EF" w14:textId="77777777" w:rsidR="00644F2F" w:rsidRPr="00C8150F" w:rsidRDefault="00644F2F" w:rsidP="00644F2F">
      <w:pPr>
        <w:pStyle w:val="Tekstpodstawowy2"/>
        <w:spacing w:after="0" w:line="240" w:lineRule="auto"/>
        <w:jc w:val="both"/>
      </w:pPr>
      <w:r w:rsidRPr="00C8150F">
        <w:t xml:space="preserve">              całym świecie pozwala wyciągnąć wnioski na temat rzeczywistej wartości pieniędzy.</w:t>
      </w:r>
    </w:p>
    <w:p w14:paraId="6C449A5A" w14:textId="77777777" w:rsidR="00644F2F" w:rsidRPr="00C8150F" w:rsidRDefault="00644F2F" w:rsidP="00644F2F">
      <w:pPr>
        <w:pStyle w:val="Tekstpodstawowy2"/>
        <w:spacing w:after="0" w:line="240" w:lineRule="auto"/>
        <w:jc w:val="both"/>
      </w:pPr>
      <w:r w:rsidRPr="00C8150F">
        <w:t xml:space="preserve">           ● Indeks Kufla Piwa - "The </w:t>
      </w:r>
      <w:proofErr w:type="spellStart"/>
      <w:r w:rsidRPr="00C8150F">
        <w:t>Economist</w:t>
      </w:r>
      <w:proofErr w:type="spellEnd"/>
      <w:r w:rsidRPr="00C8150F">
        <w:t xml:space="preserve">" z okazji </w:t>
      </w:r>
      <w:proofErr w:type="spellStart"/>
      <w:r w:rsidRPr="00C8150F">
        <w:t>Oktoberfest</w:t>
      </w:r>
      <w:proofErr w:type="spellEnd"/>
      <w:r w:rsidRPr="00C8150F">
        <w:t xml:space="preserve"> sprawdza, ile czasu</w:t>
      </w:r>
    </w:p>
    <w:p w14:paraId="1EE2696E" w14:textId="77777777" w:rsidR="00644F2F" w:rsidRPr="00C8150F" w:rsidRDefault="00644F2F" w:rsidP="00644F2F">
      <w:pPr>
        <w:pStyle w:val="Tekstpodstawowy2"/>
        <w:spacing w:after="0" w:line="240" w:lineRule="auto"/>
        <w:jc w:val="both"/>
      </w:pPr>
      <w:r w:rsidRPr="00C8150F">
        <w:t xml:space="preserve">              zajmuje ludziom na świecie zarobienie na pół litra piwa.</w:t>
      </w:r>
    </w:p>
    <w:p w14:paraId="49AF06BB" w14:textId="77777777" w:rsidR="00CB5C5D" w:rsidRDefault="00CB5C5D"/>
    <w:sectPr w:rsidR="00CB5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j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0F84"/>
    <w:multiLevelType w:val="hybridMultilevel"/>
    <w:tmpl w:val="4F60797E"/>
    <w:lvl w:ilvl="0" w:tplc="7A0808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6FE9"/>
    <w:multiLevelType w:val="multilevel"/>
    <w:tmpl w:val="97BA2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1A04D1"/>
    <w:multiLevelType w:val="hybridMultilevel"/>
    <w:tmpl w:val="83388354"/>
    <w:lvl w:ilvl="0" w:tplc="19180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A31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A09D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2C8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88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6EC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81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61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DE0C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C2B8C"/>
    <w:multiLevelType w:val="hybridMultilevel"/>
    <w:tmpl w:val="B7C8F9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54332"/>
    <w:multiLevelType w:val="multilevel"/>
    <w:tmpl w:val="9C283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2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56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9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324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58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92" w:hanging="3240"/>
      </w:pPr>
      <w:rPr>
        <w:rFonts w:hint="default"/>
      </w:rPr>
    </w:lvl>
  </w:abstractNum>
  <w:abstractNum w:abstractNumId="5" w15:restartNumberingAfterBreak="0">
    <w:nsid w:val="618D3508"/>
    <w:multiLevelType w:val="hybridMultilevel"/>
    <w:tmpl w:val="C2921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7C50"/>
    <w:multiLevelType w:val="hybridMultilevel"/>
    <w:tmpl w:val="C2A01D3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2F"/>
    <w:rsid w:val="00644F2F"/>
    <w:rsid w:val="00C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71A2"/>
  <w15:chartTrackingRefBased/>
  <w15:docId w15:val="{50509D34-27EB-47C1-9088-B79175FF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4F2F"/>
    <w:pPr>
      <w:spacing w:after="200" w:line="276" w:lineRule="auto"/>
    </w:pPr>
  </w:style>
  <w:style w:type="paragraph" w:styleId="Nagwek2">
    <w:name w:val="heading 2"/>
    <w:basedOn w:val="Normalny"/>
    <w:next w:val="Tekstpodstawowy"/>
    <w:link w:val="Nagwek2Znak"/>
    <w:uiPriority w:val="9"/>
    <w:unhideWhenUsed/>
    <w:qFormat/>
    <w:rsid w:val="00644F2F"/>
    <w:pPr>
      <w:keepNext/>
      <w:keepLines/>
      <w:spacing w:before="240" w:after="60" w:line="240" w:lineRule="auto"/>
      <w:ind w:left="578" w:hanging="578"/>
      <w:outlineLvl w:val="1"/>
    </w:pPr>
    <w:rPr>
      <w:rFonts w:ascii="Tahoma" w:eastAsia="Times New Roman" w:hAnsi="Tahoma" w:cs="Times New Roman"/>
      <w:b/>
      <w:bCs/>
      <w:color w:val="000000"/>
      <w:sz w:val="30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4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644F2F"/>
    <w:p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4F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44F2F"/>
    <w:rPr>
      <w:rFonts w:ascii="Tahoma" w:eastAsia="Times New Roman" w:hAnsi="Tahoma" w:cs="Times New Roman"/>
      <w:b/>
      <w:bCs/>
      <w:color w:val="000000"/>
      <w:sz w:val="3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4F2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8Znak">
    <w:name w:val="Nagłówek 8 Znak"/>
    <w:basedOn w:val="Domylnaczcionkaakapitu"/>
    <w:link w:val="Nagwek8"/>
    <w:uiPriority w:val="9"/>
    <w:rsid w:val="00644F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4F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kapitzlist">
    <w:name w:val="List Paragraph"/>
    <w:basedOn w:val="Normalny"/>
    <w:uiPriority w:val="34"/>
    <w:qFormat/>
    <w:rsid w:val="00644F2F"/>
    <w:pPr>
      <w:ind w:left="720"/>
      <w:contextualSpacing/>
    </w:pPr>
  </w:style>
  <w:style w:type="paragraph" w:styleId="Tekstpodstawowy">
    <w:name w:val="Body Text"/>
    <w:basedOn w:val="Normalny"/>
    <w:link w:val="TekstpodstawowyZnak"/>
    <w:semiHidden/>
    <w:rsid w:val="00644F2F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644F2F"/>
    <w:rPr>
      <w:rFonts w:ascii="Tahoma" w:eastAsia="Times New Roman" w:hAnsi="Tahoma" w:cs="Times New Roman"/>
      <w:sz w:val="20"/>
      <w:szCs w:val="24"/>
    </w:rPr>
  </w:style>
  <w:style w:type="paragraph" w:customStyle="1" w:styleId="Trekonspektu">
    <w:name w:val="_Treść konspektu"/>
    <w:basedOn w:val="Normalny"/>
    <w:rsid w:val="00644F2F"/>
    <w:pPr>
      <w:spacing w:after="0" w:line="240" w:lineRule="auto"/>
      <w:jc w:val="both"/>
    </w:pPr>
    <w:rPr>
      <w:rFonts w:ascii="Tahoma" w:eastAsia="Calibri" w:hAnsi="Tahoma" w:cs="Times New Roman"/>
      <w:sz w:val="20"/>
      <w:szCs w:val="20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644F2F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64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0164D6B04C2C43B8790D5E6A85640A" ma:contentTypeVersion="11" ma:contentTypeDescription="Utwórz nowy dokument." ma:contentTypeScope="" ma:versionID="c01fb77d423e2d5c41723824e8ff29a1">
  <xsd:schema xmlns:xsd="http://www.w3.org/2001/XMLSchema" xmlns:xs="http://www.w3.org/2001/XMLSchema" xmlns:p="http://schemas.microsoft.com/office/2006/metadata/properties" xmlns:ns2="123bc58c-b9f0-4167-8423-0fec7f655d6f" xmlns:ns3="48fc5663-db2e-445f-9c9c-459f2756631a" targetNamespace="http://schemas.microsoft.com/office/2006/metadata/properties" ma:root="true" ma:fieldsID="7dde941931dd1e2a591206956303896c" ns2:_="" ns3:_="">
    <xsd:import namespace="123bc58c-b9f0-4167-8423-0fec7f655d6f"/>
    <xsd:import namespace="48fc5663-db2e-445f-9c9c-459f2756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c58c-b9f0-4167-8423-0fec7f655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55f58b37-a4ca-4b9d-8340-d45abefa1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c5663-db2e-445f-9c9c-459f275663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e5320f-4db0-4282-80b6-b9bef3a51f5c}" ma:internalName="TaxCatchAll" ma:showField="CatchAllData" ma:web="48fc5663-db2e-445f-9c9c-459f27566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fc5663-db2e-445f-9c9c-459f2756631a" xsi:nil="true"/>
    <lcf76f155ced4ddcb4097134ff3c332f xmlns="123bc58c-b9f0-4167-8423-0fec7f655d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939395-B4FA-4821-A24D-4B6664AD3099}"/>
</file>

<file path=customXml/itemProps2.xml><?xml version="1.0" encoding="utf-8"?>
<ds:datastoreItem xmlns:ds="http://schemas.openxmlformats.org/officeDocument/2006/customXml" ds:itemID="{7F6F774B-3D43-4F09-9347-890A3A7CF24E}"/>
</file>

<file path=customXml/itemProps3.xml><?xml version="1.0" encoding="utf-8"?>
<ds:datastoreItem xmlns:ds="http://schemas.openxmlformats.org/officeDocument/2006/customXml" ds:itemID="{9696BAAF-3A14-48C6-822E-12DEE33848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Ciapek 0</dc:creator>
  <cp:keywords/>
  <dc:description/>
  <cp:lastModifiedBy>Ciapek 0</cp:lastModifiedBy>
  <cp:revision>1</cp:revision>
  <dcterms:created xsi:type="dcterms:W3CDTF">2020-05-13T12:59:00Z</dcterms:created>
  <dcterms:modified xsi:type="dcterms:W3CDTF">2020-05-13T13:01:00Z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0x010100AF0164D6B04C2C43B8790D5E6A85640A</vt:lpwstr>
  </property>
</Properties>
</file>