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37809" w14:textId="63981209" w:rsidR="00354A0D" w:rsidRPr="00EF477F" w:rsidRDefault="00354A0D" w:rsidP="00354A0D">
      <w:pPr>
        <w:spacing w:line="288" w:lineRule="auto"/>
        <w:rPr>
          <w:b/>
          <w:sz w:val="28"/>
          <w:szCs w:val="28"/>
        </w:rPr>
      </w:pPr>
      <w:r w:rsidRPr="00EF477F">
        <w:rPr>
          <w:b/>
          <w:i/>
          <w:smallCaps/>
          <w:sz w:val="28"/>
          <w:szCs w:val="28"/>
        </w:rPr>
        <w:t>Cykl koniunkturalny</w:t>
      </w:r>
    </w:p>
    <w:p w14:paraId="0E00A1C0" w14:textId="77777777" w:rsidR="00354A0D" w:rsidRPr="00EF477F" w:rsidRDefault="00354A0D" w:rsidP="00354A0D">
      <w:pPr>
        <w:spacing w:after="0" w:line="240" w:lineRule="auto"/>
        <w:jc w:val="both"/>
        <w:rPr>
          <w:b/>
          <w:sz w:val="24"/>
          <w:szCs w:val="24"/>
        </w:rPr>
      </w:pPr>
      <w:r w:rsidRPr="00EF477F">
        <w:rPr>
          <w:b/>
          <w:sz w:val="24"/>
          <w:szCs w:val="24"/>
        </w:rPr>
        <w:t xml:space="preserve">                       7.1.  Cykl koniunkturalny</w:t>
      </w:r>
    </w:p>
    <w:p w14:paraId="494A0A3B" w14:textId="77777777" w:rsidR="00354A0D" w:rsidRPr="00EF477F" w:rsidRDefault="00354A0D" w:rsidP="00354A0D">
      <w:pPr>
        <w:spacing w:after="0" w:line="240" w:lineRule="auto"/>
        <w:jc w:val="both"/>
      </w:pPr>
      <w:r w:rsidRPr="00EF477F">
        <w:t>Procesy dynamiczne w gospodarce w gospodarce rynkowej związane są z pojęciem wahań koniunkturalnych.</w:t>
      </w:r>
    </w:p>
    <w:p w14:paraId="38775E37" w14:textId="77777777" w:rsidR="00354A0D" w:rsidRPr="00EF477F" w:rsidRDefault="00354A0D" w:rsidP="00354A0D">
      <w:pPr>
        <w:pStyle w:val="Tekstpodstawowy"/>
        <w:rPr>
          <w:rFonts w:asciiTheme="minorHAnsi" w:hAnsiTheme="minorHAnsi"/>
          <w:sz w:val="22"/>
          <w:szCs w:val="22"/>
        </w:rPr>
      </w:pPr>
    </w:p>
    <w:tbl>
      <w:tblPr>
        <w:tblW w:w="0" w:type="auto"/>
        <w:tblBorders>
          <w:top w:val="single" w:sz="8" w:space="0" w:color="A1B2CF"/>
          <w:left w:val="single" w:sz="8" w:space="0" w:color="A1B2CF"/>
          <w:bottom w:val="single" w:sz="8" w:space="0" w:color="A1B2CF"/>
          <w:right w:val="single" w:sz="8" w:space="0" w:color="A1B2CF"/>
        </w:tblBorders>
        <w:tblLayout w:type="fixed"/>
        <w:tblCellMar>
          <w:top w:w="227" w:type="dxa"/>
          <w:left w:w="170" w:type="dxa"/>
          <w:bottom w:w="227" w:type="dxa"/>
          <w:right w:w="170" w:type="dxa"/>
        </w:tblCellMar>
        <w:tblLook w:val="04A0" w:firstRow="1" w:lastRow="0" w:firstColumn="1" w:lastColumn="0" w:noHBand="0" w:noVBand="1"/>
      </w:tblPr>
      <w:tblGrid>
        <w:gridCol w:w="9210"/>
      </w:tblGrid>
      <w:tr w:rsidR="00354A0D" w:rsidRPr="00EF477F" w14:paraId="60598080" w14:textId="77777777" w:rsidTr="00BE061A">
        <w:trPr>
          <w:cantSplit/>
        </w:trPr>
        <w:tc>
          <w:tcPr>
            <w:tcW w:w="9210" w:type="dxa"/>
            <w:shd w:val="clear" w:color="auto" w:fill="E8F6E8"/>
            <w:vAlign w:val="center"/>
          </w:tcPr>
          <w:p w14:paraId="56662338" w14:textId="77777777" w:rsidR="00354A0D" w:rsidRPr="00EF477F" w:rsidRDefault="00354A0D" w:rsidP="00BE061A">
            <w:pPr>
              <w:spacing w:after="0" w:line="240" w:lineRule="auto"/>
              <w:jc w:val="both"/>
              <w:rPr>
                <w:bCs/>
              </w:rPr>
            </w:pPr>
            <w:r w:rsidRPr="00EF477F">
              <w:rPr>
                <w:b/>
              </w:rPr>
              <w:t>Koniunktura</w:t>
            </w:r>
            <w:r w:rsidRPr="00EF477F">
              <w:rPr>
                <w:bCs/>
              </w:rPr>
              <w:t xml:space="preserve"> (wg Słownika Języka Polskiego)</w:t>
            </w:r>
          </w:p>
          <w:p w14:paraId="276200E0" w14:textId="77777777" w:rsidR="00354A0D" w:rsidRPr="00EF477F" w:rsidRDefault="00354A0D" w:rsidP="00354A0D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bCs/>
              </w:rPr>
            </w:pPr>
            <w:r w:rsidRPr="00EF477F">
              <w:rPr>
                <w:bCs/>
              </w:rPr>
              <w:t>„splot okoliczności, warunki wywierające znaczny, głównie pozytywny wpływ na coś; sytuacja, położenie”,</w:t>
            </w:r>
          </w:p>
          <w:p w14:paraId="75C84991" w14:textId="77777777" w:rsidR="00354A0D" w:rsidRPr="00EF477F" w:rsidRDefault="00354A0D" w:rsidP="00354A0D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bCs/>
              </w:rPr>
            </w:pPr>
            <w:r w:rsidRPr="00EF477F">
              <w:rPr>
                <w:bCs/>
              </w:rPr>
              <w:t>w odniesieniu do gospodarki:</w:t>
            </w:r>
          </w:p>
          <w:p w14:paraId="1FBB48B9" w14:textId="77777777" w:rsidR="00354A0D" w:rsidRPr="00EF477F" w:rsidRDefault="00354A0D" w:rsidP="00BE061A">
            <w:pPr>
              <w:pStyle w:val="Tekstpodstawowywcity"/>
              <w:spacing w:after="0" w:line="240" w:lineRule="auto"/>
              <w:ind w:left="708"/>
              <w:rPr>
                <w:rFonts w:asciiTheme="minorHAnsi" w:hAnsiTheme="minorHAnsi"/>
              </w:rPr>
            </w:pPr>
            <w:r w:rsidRPr="00EF477F">
              <w:rPr>
                <w:rFonts w:asciiTheme="minorHAnsi" w:hAnsiTheme="minorHAnsi"/>
              </w:rPr>
              <w:t>„całokształt wskaźników życia gospodarczego, jak poziom produkcji, rozmiary zatrudnienia i inne, charakteryzujący stan gospodarki kraju lub danego rynku towarowego”.</w:t>
            </w:r>
          </w:p>
          <w:p w14:paraId="6EE19D39" w14:textId="77777777" w:rsidR="00354A0D" w:rsidRPr="00EF477F" w:rsidRDefault="00354A0D" w:rsidP="00BE061A">
            <w:pPr>
              <w:pStyle w:val="Tekstpodstawowy"/>
              <w:rPr>
                <w:rFonts w:asciiTheme="minorHAnsi" w:hAnsiTheme="minorHAnsi"/>
                <w:sz w:val="22"/>
                <w:szCs w:val="22"/>
                <w:lang w:eastAsia="pl-PL"/>
              </w:rPr>
            </w:pPr>
          </w:p>
        </w:tc>
      </w:tr>
    </w:tbl>
    <w:p w14:paraId="64A3A4CF" w14:textId="77777777" w:rsidR="00354A0D" w:rsidRPr="00EF477F" w:rsidRDefault="00354A0D" w:rsidP="00354A0D">
      <w:pPr>
        <w:pStyle w:val="Tekstpodstawowy"/>
        <w:rPr>
          <w:rFonts w:asciiTheme="minorHAnsi" w:hAnsiTheme="minorHAnsi"/>
          <w:sz w:val="22"/>
          <w:szCs w:val="22"/>
        </w:rPr>
      </w:pPr>
    </w:p>
    <w:tbl>
      <w:tblPr>
        <w:tblW w:w="0" w:type="auto"/>
        <w:tblBorders>
          <w:top w:val="single" w:sz="8" w:space="0" w:color="A1B2CF"/>
          <w:left w:val="single" w:sz="8" w:space="0" w:color="A1B2CF"/>
          <w:bottom w:val="single" w:sz="8" w:space="0" w:color="A1B2CF"/>
          <w:right w:val="single" w:sz="8" w:space="0" w:color="A1B2CF"/>
        </w:tblBorders>
        <w:tblLayout w:type="fixed"/>
        <w:tblCellMar>
          <w:top w:w="227" w:type="dxa"/>
          <w:left w:w="170" w:type="dxa"/>
          <w:bottom w:w="227" w:type="dxa"/>
          <w:right w:w="170" w:type="dxa"/>
        </w:tblCellMar>
        <w:tblLook w:val="04A0" w:firstRow="1" w:lastRow="0" w:firstColumn="1" w:lastColumn="0" w:noHBand="0" w:noVBand="1"/>
      </w:tblPr>
      <w:tblGrid>
        <w:gridCol w:w="9210"/>
      </w:tblGrid>
      <w:tr w:rsidR="00354A0D" w:rsidRPr="00EF477F" w14:paraId="3DDE93A3" w14:textId="77777777" w:rsidTr="00BE061A">
        <w:trPr>
          <w:cantSplit/>
          <w:trHeight w:val="4162"/>
        </w:trPr>
        <w:tc>
          <w:tcPr>
            <w:tcW w:w="9210" w:type="dxa"/>
            <w:shd w:val="clear" w:color="auto" w:fill="E8F6E8"/>
            <w:vAlign w:val="center"/>
          </w:tcPr>
          <w:p w14:paraId="74F69221" w14:textId="77777777" w:rsidR="00354A0D" w:rsidRPr="00EF477F" w:rsidRDefault="00354A0D" w:rsidP="00BE061A">
            <w:pPr>
              <w:spacing w:after="0" w:line="240" w:lineRule="auto"/>
              <w:jc w:val="both"/>
              <w:rPr>
                <w:b/>
              </w:rPr>
            </w:pPr>
            <w:r w:rsidRPr="00EF477F">
              <w:rPr>
                <w:b/>
              </w:rPr>
              <w:t>Cykle koniunkturalne:</w:t>
            </w:r>
          </w:p>
          <w:p w14:paraId="325102A3" w14:textId="77777777" w:rsidR="00354A0D" w:rsidRPr="00EF477F" w:rsidRDefault="00354A0D" w:rsidP="00354A0D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b/>
                <w:bCs/>
              </w:rPr>
            </w:pPr>
            <w:r w:rsidRPr="00EF477F">
              <w:rPr>
                <w:b/>
              </w:rPr>
              <w:t>(</w:t>
            </w:r>
            <w:proofErr w:type="spellStart"/>
            <w:r w:rsidRPr="00EF477F">
              <w:rPr>
                <w:b/>
              </w:rPr>
              <w:t>A.F.Burns</w:t>
            </w:r>
            <w:proofErr w:type="spellEnd"/>
            <w:r w:rsidRPr="00EF477F">
              <w:rPr>
                <w:b/>
              </w:rPr>
              <w:t xml:space="preserve"> i </w:t>
            </w:r>
            <w:proofErr w:type="spellStart"/>
            <w:r w:rsidRPr="00EF477F">
              <w:rPr>
                <w:b/>
              </w:rPr>
              <w:t>W.C.Mitchell</w:t>
            </w:r>
            <w:proofErr w:type="spellEnd"/>
            <w:r w:rsidRPr="00EF477F">
              <w:rPr>
                <w:b/>
              </w:rPr>
              <w:t xml:space="preserve">) </w:t>
            </w:r>
            <w:r w:rsidRPr="00EF477F">
              <w:t xml:space="preserve">– „rodzaj wahań występujących w agregatach przedstawiających działalność gospodarczą narodów, organizujących swoją produkcję przeważnie w przedsiębiorstwach; cykle składają się  z okresów ekspansji, następujących po nich równie powszechnych kryzysach, zastojach oraz </w:t>
            </w:r>
            <w:proofErr w:type="spellStart"/>
            <w:r w:rsidRPr="00EF477F">
              <w:t>ożywieniach</w:t>
            </w:r>
            <w:proofErr w:type="spellEnd"/>
            <w:r w:rsidRPr="00EF477F">
              <w:t>, które łączą się z fazą ekspansji cyklu następnego”,</w:t>
            </w:r>
          </w:p>
          <w:p w14:paraId="68DEEA6C" w14:textId="77777777" w:rsidR="00354A0D" w:rsidRPr="00EF477F" w:rsidRDefault="00354A0D" w:rsidP="00354A0D">
            <w:pPr>
              <w:pStyle w:val="Tekstpodstawowy"/>
              <w:widowControl w:val="0"/>
              <w:numPr>
                <w:ilvl w:val="0"/>
                <w:numId w:val="3"/>
              </w:numPr>
              <w:suppressAutoHyphens/>
              <w:rPr>
                <w:rFonts w:asciiTheme="minorHAnsi" w:hAnsiTheme="minorHAnsi"/>
                <w:sz w:val="22"/>
                <w:szCs w:val="22"/>
                <w:lang w:eastAsia="pl-PL"/>
              </w:rPr>
            </w:pPr>
            <w:r w:rsidRPr="00EF477F">
              <w:rPr>
                <w:rFonts w:asciiTheme="minorHAnsi" w:hAnsiTheme="minorHAnsi"/>
                <w:b/>
                <w:sz w:val="22"/>
                <w:szCs w:val="22"/>
                <w:lang w:eastAsia="pl-PL"/>
              </w:rPr>
              <w:t>(</w:t>
            </w:r>
            <w:proofErr w:type="spellStart"/>
            <w:r w:rsidRPr="00EF477F">
              <w:rPr>
                <w:rFonts w:asciiTheme="minorHAnsi" w:hAnsiTheme="minorHAnsi"/>
                <w:b/>
                <w:sz w:val="22"/>
                <w:szCs w:val="22"/>
                <w:lang w:eastAsia="pl-PL"/>
              </w:rPr>
              <w:t>G.Haberler</w:t>
            </w:r>
            <w:proofErr w:type="spellEnd"/>
            <w:r w:rsidRPr="00EF477F">
              <w:rPr>
                <w:rFonts w:asciiTheme="minorHAnsi" w:hAnsiTheme="minorHAnsi"/>
                <w:b/>
                <w:sz w:val="22"/>
                <w:szCs w:val="22"/>
                <w:lang w:eastAsia="pl-PL"/>
              </w:rPr>
              <w:t>)</w:t>
            </w:r>
            <w:r w:rsidRPr="00EF477F">
              <w:rPr>
                <w:rFonts w:asciiTheme="minorHAnsi" w:hAnsiTheme="minorHAnsi"/>
                <w:sz w:val="22"/>
                <w:szCs w:val="22"/>
                <w:lang w:eastAsia="pl-PL"/>
              </w:rPr>
              <w:t xml:space="preserve"> – „ruch typu falowego, obejmujący system gospodarczy jako całość, przejawiający się przede wszystkim w wahaniach produkcji i zatrudnienia”,</w:t>
            </w:r>
          </w:p>
          <w:p w14:paraId="4AD42ED0" w14:textId="77777777" w:rsidR="00354A0D" w:rsidRPr="00EF477F" w:rsidRDefault="00354A0D" w:rsidP="00354A0D">
            <w:pPr>
              <w:numPr>
                <w:ilvl w:val="0"/>
                <w:numId w:val="2"/>
              </w:numPr>
              <w:spacing w:after="0" w:line="240" w:lineRule="auto"/>
              <w:jc w:val="both"/>
            </w:pPr>
            <w:r w:rsidRPr="00EF477F">
              <w:rPr>
                <w:b/>
              </w:rPr>
              <w:t xml:space="preserve">(J.A. </w:t>
            </w:r>
            <w:proofErr w:type="spellStart"/>
            <w:r w:rsidRPr="00EF477F">
              <w:rPr>
                <w:b/>
              </w:rPr>
              <w:t>Estey</w:t>
            </w:r>
            <w:proofErr w:type="spellEnd"/>
            <w:r w:rsidRPr="00EF477F">
              <w:rPr>
                <w:b/>
              </w:rPr>
              <w:t>)</w:t>
            </w:r>
            <w:r w:rsidRPr="00EF477F">
              <w:t xml:space="preserve"> – „fluktuacje, obejmujące całokształt życia gospodarczego, a które są wypadkową wzajemnie powiązanych wielu cykli specjalnych”,</w:t>
            </w:r>
          </w:p>
          <w:p w14:paraId="4914CBE3" w14:textId="77777777" w:rsidR="00354A0D" w:rsidRPr="00EF477F" w:rsidRDefault="00354A0D" w:rsidP="00354A0D">
            <w:pPr>
              <w:pStyle w:val="Tekstpodstawowy"/>
              <w:widowControl w:val="0"/>
              <w:numPr>
                <w:ilvl w:val="0"/>
                <w:numId w:val="1"/>
              </w:numPr>
              <w:suppressAutoHyphens/>
              <w:rPr>
                <w:rFonts w:asciiTheme="minorHAnsi" w:hAnsiTheme="minorHAnsi"/>
                <w:sz w:val="22"/>
                <w:szCs w:val="22"/>
                <w:lang w:eastAsia="pl-PL"/>
              </w:rPr>
            </w:pPr>
            <w:r w:rsidRPr="00EF477F">
              <w:rPr>
                <w:rFonts w:asciiTheme="minorHAnsi" w:hAnsiTheme="minorHAnsi"/>
                <w:b/>
                <w:sz w:val="22"/>
                <w:szCs w:val="22"/>
                <w:lang w:eastAsia="pl-PL"/>
              </w:rPr>
              <w:t>(statystyczne ujęcie)</w:t>
            </w:r>
            <w:r w:rsidRPr="00EF477F">
              <w:rPr>
                <w:rFonts w:asciiTheme="minorHAnsi" w:hAnsiTheme="minorHAnsi"/>
                <w:sz w:val="22"/>
                <w:szCs w:val="22"/>
                <w:lang w:eastAsia="pl-PL"/>
              </w:rPr>
              <w:t xml:space="preserve"> – „ujemna autokorelacja podstawowych agregatów makroekonomicznych w wyrażeniu realnym, takich jak produkcja i zatrudnienie oraz nominalnym, jak inflacja oraz zbieżność ruchu poszczególnych szeregów, między którymi  mogą występować wyprzedzenia i opóźnienia, a także zgodność zmian w czasie, co jednak nie musi implikować zależności przyczynowych”.</w:t>
            </w:r>
          </w:p>
        </w:tc>
      </w:tr>
    </w:tbl>
    <w:p w14:paraId="1ED2BBB1" w14:textId="77777777" w:rsidR="00354A0D" w:rsidRPr="00EF477F" w:rsidRDefault="00354A0D" w:rsidP="00354A0D">
      <w:pPr>
        <w:pStyle w:val="Tekstpodstawowy"/>
        <w:rPr>
          <w:rFonts w:asciiTheme="minorHAnsi" w:hAnsiTheme="minorHAnsi"/>
          <w:b/>
          <w:sz w:val="22"/>
          <w:szCs w:val="22"/>
        </w:rPr>
      </w:pPr>
    </w:p>
    <w:p w14:paraId="15774939" w14:textId="77777777" w:rsidR="00354A0D" w:rsidRPr="00EF477F" w:rsidRDefault="00354A0D" w:rsidP="00354A0D">
      <w:pPr>
        <w:pStyle w:val="Tekstpodstawowy"/>
        <w:rPr>
          <w:rFonts w:asciiTheme="minorHAnsi" w:hAnsiTheme="minorHAnsi"/>
          <w:b/>
          <w:sz w:val="22"/>
          <w:szCs w:val="22"/>
        </w:rPr>
      </w:pPr>
      <w:r w:rsidRPr="00EF477F">
        <w:rPr>
          <w:rFonts w:asciiTheme="minorHAnsi" w:hAnsiTheme="minorHAnsi"/>
          <w:b/>
          <w:sz w:val="22"/>
          <w:szCs w:val="22"/>
        </w:rPr>
        <w:t>Typowe zdarzenia w przebiegu wahań koniunkturalnych:</w:t>
      </w:r>
    </w:p>
    <w:p w14:paraId="1C40D3F8" w14:textId="77777777" w:rsidR="00354A0D" w:rsidRPr="00EF477F" w:rsidRDefault="00354A0D" w:rsidP="00354A0D">
      <w:pPr>
        <w:pStyle w:val="Tekstpodstawowy"/>
        <w:widowControl w:val="0"/>
        <w:numPr>
          <w:ilvl w:val="0"/>
          <w:numId w:val="6"/>
        </w:numPr>
        <w:suppressAutoHyphens/>
        <w:rPr>
          <w:rFonts w:asciiTheme="minorHAnsi" w:hAnsiTheme="minorHAnsi"/>
          <w:b/>
          <w:sz w:val="22"/>
          <w:szCs w:val="22"/>
        </w:rPr>
      </w:pPr>
      <w:r w:rsidRPr="00EF477F">
        <w:rPr>
          <w:rFonts w:asciiTheme="minorHAnsi" w:hAnsiTheme="minorHAnsi"/>
          <w:b/>
          <w:sz w:val="22"/>
          <w:szCs w:val="22"/>
        </w:rPr>
        <w:t>Fluktuacjom produkcji towarzyszą, zachodzące w tym samym kierunku, zmiany stopy inflacji i przeciwnie skierowane wahania bezrobocia.</w:t>
      </w:r>
    </w:p>
    <w:p w14:paraId="7E1096C6" w14:textId="77777777" w:rsidR="00354A0D" w:rsidRPr="00EF477F" w:rsidRDefault="00354A0D" w:rsidP="00354A0D">
      <w:pPr>
        <w:pStyle w:val="Tekstpodstawowy"/>
        <w:ind w:left="720"/>
        <w:rPr>
          <w:rFonts w:asciiTheme="minorHAnsi" w:hAnsiTheme="minorHAnsi"/>
          <w:sz w:val="22"/>
          <w:szCs w:val="22"/>
        </w:rPr>
      </w:pPr>
      <w:r w:rsidRPr="00EF477F">
        <w:rPr>
          <w:rFonts w:asciiTheme="minorHAnsi" w:hAnsiTheme="minorHAnsi"/>
          <w:sz w:val="22"/>
          <w:szCs w:val="22"/>
        </w:rPr>
        <w:t xml:space="preserve">(ożywienie </w:t>
      </w:r>
      <w:r w:rsidRPr="00EF477F">
        <w:rPr>
          <w:rFonts w:asciiTheme="minorHAnsi" w:hAnsiTheme="minorHAnsi"/>
          <w:sz w:val="22"/>
          <w:szCs w:val="22"/>
        </w:rPr>
        <w:sym w:font="Symbol" w:char="F0AE"/>
      </w:r>
      <w:r w:rsidRPr="00EF477F">
        <w:rPr>
          <w:rFonts w:asciiTheme="minorHAnsi" w:hAnsiTheme="minorHAnsi"/>
          <w:sz w:val="22"/>
          <w:szCs w:val="22"/>
        </w:rPr>
        <w:t xml:space="preserve"> wzrost produkcji i cen </w:t>
      </w:r>
      <w:r w:rsidRPr="00EF477F">
        <w:rPr>
          <w:rFonts w:asciiTheme="minorHAnsi" w:hAnsiTheme="minorHAnsi"/>
          <w:sz w:val="22"/>
          <w:szCs w:val="22"/>
        </w:rPr>
        <w:sym w:font="Symbol" w:char="F0AE"/>
      </w:r>
      <w:r w:rsidRPr="00EF477F">
        <w:rPr>
          <w:rFonts w:asciiTheme="minorHAnsi" w:hAnsiTheme="minorHAnsi"/>
          <w:sz w:val="22"/>
          <w:szCs w:val="22"/>
        </w:rPr>
        <w:t xml:space="preserve"> spadek stopy bezrobocia)</w:t>
      </w:r>
    </w:p>
    <w:p w14:paraId="5D752749" w14:textId="77777777" w:rsidR="00354A0D" w:rsidRPr="00EF477F" w:rsidRDefault="00354A0D" w:rsidP="00354A0D">
      <w:pPr>
        <w:pStyle w:val="Tekstpodstawowy"/>
        <w:widowControl w:val="0"/>
        <w:numPr>
          <w:ilvl w:val="0"/>
          <w:numId w:val="6"/>
        </w:numPr>
        <w:suppressAutoHyphens/>
        <w:rPr>
          <w:rFonts w:asciiTheme="minorHAnsi" w:hAnsiTheme="minorHAnsi"/>
          <w:b/>
          <w:sz w:val="22"/>
          <w:szCs w:val="22"/>
        </w:rPr>
      </w:pPr>
      <w:r w:rsidRPr="00EF477F">
        <w:rPr>
          <w:rFonts w:asciiTheme="minorHAnsi" w:hAnsiTheme="minorHAnsi"/>
          <w:b/>
          <w:sz w:val="22"/>
          <w:szCs w:val="22"/>
        </w:rPr>
        <w:t>Zgodność ruchu cen i płac</w:t>
      </w:r>
    </w:p>
    <w:p w14:paraId="7270F103" w14:textId="77777777" w:rsidR="00354A0D" w:rsidRPr="00EF477F" w:rsidRDefault="00354A0D" w:rsidP="00354A0D">
      <w:pPr>
        <w:pStyle w:val="Tekstpodstawowy"/>
        <w:ind w:left="720"/>
        <w:rPr>
          <w:rFonts w:asciiTheme="minorHAnsi" w:hAnsiTheme="minorHAnsi"/>
          <w:sz w:val="22"/>
          <w:szCs w:val="22"/>
        </w:rPr>
      </w:pPr>
      <w:r w:rsidRPr="00EF477F">
        <w:rPr>
          <w:rFonts w:asciiTheme="minorHAnsi" w:hAnsiTheme="minorHAnsi"/>
          <w:sz w:val="22"/>
          <w:szCs w:val="22"/>
        </w:rPr>
        <w:t>(płace zazwyczaj zaczynają rosnąć wcześniej, jedynie przy nasileniu inflacji prawidłowość ta się nie sprawdza)</w:t>
      </w:r>
    </w:p>
    <w:p w14:paraId="71DAE398" w14:textId="77777777" w:rsidR="00354A0D" w:rsidRPr="00EF477F" w:rsidRDefault="00354A0D" w:rsidP="00354A0D">
      <w:pPr>
        <w:pStyle w:val="Tekstpodstawowy"/>
        <w:widowControl w:val="0"/>
        <w:numPr>
          <w:ilvl w:val="0"/>
          <w:numId w:val="6"/>
        </w:numPr>
        <w:suppressAutoHyphens/>
        <w:rPr>
          <w:rFonts w:asciiTheme="minorHAnsi" w:hAnsiTheme="minorHAnsi"/>
          <w:b/>
          <w:sz w:val="22"/>
          <w:szCs w:val="22"/>
        </w:rPr>
      </w:pPr>
      <w:r w:rsidRPr="00EF477F">
        <w:rPr>
          <w:rFonts w:asciiTheme="minorHAnsi" w:hAnsiTheme="minorHAnsi"/>
          <w:b/>
          <w:sz w:val="22"/>
          <w:szCs w:val="22"/>
        </w:rPr>
        <w:t>W okresie ożywienia rosną płace realne i ich udział w DN.</w:t>
      </w:r>
    </w:p>
    <w:p w14:paraId="755A2072" w14:textId="77777777" w:rsidR="00354A0D" w:rsidRPr="00EF477F" w:rsidRDefault="00354A0D" w:rsidP="00354A0D">
      <w:pPr>
        <w:pStyle w:val="Tekstpodstawowy"/>
        <w:widowControl w:val="0"/>
        <w:numPr>
          <w:ilvl w:val="0"/>
          <w:numId w:val="6"/>
        </w:numPr>
        <w:suppressAutoHyphens/>
        <w:rPr>
          <w:rFonts w:asciiTheme="minorHAnsi" w:hAnsiTheme="minorHAnsi"/>
          <w:b/>
          <w:sz w:val="22"/>
          <w:szCs w:val="22"/>
        </w:rPr>
      </w:pPr>
      <w:r w:rsidRPr="00EF477F">
        <w:rPr>
          <w:rFonts w:asciiTheme="minorHAnsi" w:hAnsiTheme="minorHAnsi"/>
          <w:b/>
          <w:sz w:val="22"/>
          <w:szCs w:val="22"/>
        </w:rPr>
        <w:t>W długim okresie ma miejsce wzrostowy trend PKB.</w:t>
      </w:r>
    </w:p>
    <w:p w14:paraId="1D9BBAB7" w14:textId="77777777" w:rsidR="00354A0D" w:rsidRPr="00EF477F" w:rsidRDefault="00354A0D" w:rsidP="00354A0D">
      <w:pPr>
        <w:pStyle w:val="Tekstpodstawowy"/>
        <w:ind w:left="720"/>
        <w:rPr>
          <w:rFonts w:asciiTheme="minorHAnsi" w:hAnsiTheme="minorHAnsi"/>
          <w:sz w:val="22"/>
          <w:szCs w:val="22"/>
        </w:rPr>
      </w:pPr>
      <w:r w:rsidRPr="00EF477F">
        <w:rPr>
          <w:rFonts w:asciiTheme="minorHAnsi" w:hAnsiTheme="minorHAnsi"/>
          <w:sz w:val="22"/>
          <w:szCs w:val="22"/>
        </w:rPr>
        <w:t xml:space="preserve">(co oznacza że, załamanie koniunktury nie przekreśla korzyści osiągniętych w fazie wzrostowej poprzedzającego cyklu) </w:t>
      </w:r>
    </w:p>
    <w:p w14:paraId="7A56B759" w14:textId="77777777" w:rsidR="00354A0D" w:rsidRPr="00EF477F" w:rsidRDefault="00354A0D" w:rsidP="00354A0D">
      <w:pPr>
        <w:pStyle w:val="Tekstpodstawowy"/>
        <w:widowControl w:val="0"/>
        <w:numPr>
          <w:ilvl w:val="0"/>
          <w:numId w:val="6"/>
        </w:numPr>
        <w:suppressAutoHyphens/>
        <w:rPr>
          <w:rFonts w:asciiTheme="minorHAnsi" w:hAnsiTheme="minorHAnsi"/>
          <w:b/>
          <w:sz w:val="22"/>
          <w:szCs w:val="22"/>
        </w:rPr>
      </w:pPr>
      <w:r w:rsidRPr="00EF477F">
        <w:rPr>
          <w:rFonts w:asciiTheme="minorHAnsi" w:hAnsiTheme="minorHAnsi"/>
          <w:b/>
          <w:sz w:val="22"/>
          <w:szCs w:val="22"/>
        </w:rPr>
        <w:t>Powtarzalność, ale niepełna periodyczność, wahań koniunkturalnych.</w:t>
      </w:r>
    </w:p>
    <w:p w14:paraId="6BC4CC5D" w14:textId="77777777" w:rsidR="00354A0D" w:rsidRPr="00EF477F" w:rsidRDefault="00354A0D" w:rsidP="00354A0D">
      <w:pPr>
        <w:pStyle w:val="Tekstpodstawowy"/>
        <w:ind w:left="720"/>
        <w:rPr>
          <w:rFonts w:asciiTheme="minorHAnsi" w:hAnsiTheme="minorHAnsi"/>
          <w:sz w:val="22"/>
          <w:szCs w:val="22"/>
        </w:rPr>
      </w:pPr>
      <w:r w:rsidRPr="00EF477F">
        <w:rPr>
          <w:rFonts w:asciiTheme="minorHAnsi" w:hAnsiTheme="minorHAnsi"/>
          <w:sz w:val="22"/>
          <w:szCs w:val="22"/>
        </w:rPr>
        <w:t>(co utrudnia przewidywanie pojawienia się punktu zwrotnego)</w:t>
      </w:r>
    </w:p>
    <w:p w14:paraId="77E0EF83" w14:textId="77777777" w:rsidR="00354A0D" w:rsidRPr="00EF477F" w:rsidRDefault="00354A0D" w:rsidP="00354A0D">
      <w:pPr>
        <w:pStyle w:val="Tekstpodstawowy"/>
        <w:widowControl w:val="0"/>
        <w:numPr>
          <w:ilvl w:val="0"/>
          <w:numId w:val="6"/>
        </w:numPr>
        <w:suppressAutoHyphens/>
        <w:rPr>
          <w:rFonts w:asciiTheme="minorHAnsi" w:hAnsiTheme="minorHAnsi"/>
          <w:b/>
          <w:sz w:val="22"/>
          <w:szCs w:val="22"/>
        </w:rPr>
      </w:pPr>
      <w:r w:rsidRPr="00EF477F">
        <w:rPr>
          <w:rFonts w:asciiTheme="minorHAnsi" w:hAnsiTheme="minorHAnsi"/>
          <w:b/>
          <w:sz w:val="22"/>
          <w:szCs w:val="22"/>
        </w:rPr>
        <w:t>Jednokierunkowość zmian produkcji i wydajności pracy.</w:t>
      </w:r>
    </w:p>
    <w:p w14:paraId="0B516BCE" w14:textId="77777777" w:rsidR="00354A0D" w:rsidRPr="00EF477F" w:rsidRDefault="00354A0D" w:rsidP="00354A0D">
      <w:pPr>
        <w:pStyle w:val="Tekstpodstawowy"/>
        <w:ind w:left="720"/>
        <w:rPr>
          <w:rFonts w:asciiTheme="minorHAnsi" w:hAnsiTheme="minorHAnsi"/>
          <w:sz w:val="22"/>
          <w:szCs w:val="22"/>
        </w:rPr>
      </w:pPr>
      <w:r w:rsidRPr="00EF477F">
        <w:rPr>
          <w:rFonts w:asciiTheme="minorHAnsi" w:hAnsiTheme="minorHAnsi"/>
          <w:sz w:val="22"/>
          <w:szCs w:val="22"/>
        </w:rPr>
        <w:t>(co koliduje z neoklasyczną teorią, przyjmującą standardową funkcję produkcji z malejącą krańcową produkcyjnością czynników produkcji)</w:t>
      </w:r>
    </w:p>
    <w:p w14:paraId="4DA17103" w14:textId="77777777" w:rsidR="00354A0D" w:rsidRPr="00EF477F" w:rsidRDefault="00354A0D" w:rsidP="00354A0D">
      <w:pPr>
        <w:pStyle w:val="Tekstpodstawowy"/>
        <w:widowControl w:val="0"/>
        <w:numPr>
          <w:ilvl w:val="0"/>
          <w:numId w:val="6"/>
        </w:numPr>
        <w:suppressAutoHyphens/>
        <w:rPr>
          <w:rFonts w:asciiTheme="minorHAnsi" w:hAnsiTheme="minorHAnsi"/>
          <w:b/>
          <w:sz w:val="22"/>
          <w:szCs w:val="22"/>
        </w:rPr>
      </w:pPr>
      <w:r w:rsidRPr="00EF477F">
        <w:rPr>
          <w:rFonts w:asciiTheme="minorHAnsi" w:hAnsiTheme="minorHAnsi"/>
          <w:b/>
          <w:sz w:val="22"/>
          <w:szCs w:val="22"/>
        </w:rPr>
        <w:t>Ruch zysków jest zgodny ze zmianami w koniunkturze.</w:t>
      </w:r>
    </w:p>
    <w:p w14:paraId="45795C40" w14:textId="77777777" w:rsidR="00354A0D" w:rsidRPr="00EF477F" w:rsidRDefault="00354A0D" w:rsidP="00354A0D">
      <w:pPr>
        <w:pStyle w:val="Tekstpodstawowy"/>
        <w:ind w:left="720"/>
        <w:rPr>
          <w:rFonts w:asciiTheme="minorHAnsi" w:hAnsiTheme="minorHAnsi"/>
          <w:sz w:val="22"/>
          <w:szCs w:val="22"/>
        </w:rPr>
      </w:pPr>
      <w:r w:rsidRPr="00EF477F">
        <w:rPr>
          <w:rFonts w:asciiTheme="minorHAnsi" w:hAnsiTheme="minorHAnsi"/>
          <w:sz w:val="22"/>
          <w:szCs w:val="22"/>
        </w:rPr>
        <w:lastRenderedPageBreak/>
        <w:t>(w szczególności spadek zysków na jednostkę poprzedza koniunkturalny spadek sprzedaży)</w:t>
      </w:r>
    </w:p>
    <w:p w14:paraId="5BD4ED1F" w14:textId="77777777" w:rsidR="00354A0D" w:rsidRPr="00EF477F" w:rsidRDefault="00354A0D" w:rsidP="00354A0D">
      <w:pPr>
        <w:pStyle w:val="Tekstpodstawowy"/>
        <w:widowControl w:val="0"/>
        <w:numPr>
          <w:ilvl w:val="0"/>
          <w:numId w:val="6"/>
        </w:numPr>
        <w:suppressAutoHyphens/>
        <w:rPr>
          <w:rFonts w:asciiTheme="minorHAnsi" w:hAnsiTheme="minorHAnsi"/>
          <w:b/>
          <w:sz w:val="22"/>
          <w:szCs w:val="22"/>
        </w:rPr>
      </w:pPr>
      <w:r w:rsidRPr="00EF477F">
        <w:rPr>
          <w:rFonts w:asciiTheme="minorHAnsi" w:hAnsiTheme="minorHAnsi"/>
          <w:b/>
          <w:sz w:val="22"/>
          <w:szCs w:val="22"/>
        </w:rPr>
        <w:t>Duża zgodność zmian w poziomie aktywności gospodarczej ze zmianami popytu inwestycyjnego.</w:t>
      </w:r>
    </w:p>
    <w:p w14:paraId="1299B15B" w14:textId="77777777" w:rsidR="00354A0D" w:rsidRPr="00EF477F" w:rsidRDefault="00354A0D" w:rsidP="00354A0D">
      <w:pPr>
        <w:pStyle w:val="Tekstpodstawowy"/>
        <w:ind w:left="720"/>
        <w:rPr>
          <w:rFonts w:asciiTheme="minorHAnsi" w:hAnsiTheme="minorHAnsi"/>
          <w:sz w:val="22"/>
          <w:szCs w:val="22"/>
        </w:rPr>
      </w:pPr>
      <w:r w:rsidRPr="00EF477F">
        <w:rPr>
          <w:rFonts w:asciiTheme="minorHAnsi" w:hAnsiTheme="minorHAnsi"/>
          <w:sz w:val="22"/>
          <w:szCs w:val="22"/>
        </w:rPr>
        <w:t xml:space="preserve">(spadek aktywności gospodarczej </w:t>
      </w:r>
      <w:r w:rsidRPr="00EF477F">
        <w:rPr>
          <w:rFonts w:asciiTheme="minorHAnsi" w:hAnsiTheme="minorHAnsi"/>
          <w:sz w:val="22"/>
          <w:szCs w:val="22"/>
        </w:rPr>
        <w:sym w:font="Symbol" w:char="F0AE"/>
      </w:r>
      <w:r w:rsidRPr="00EF477F">
        <w:rPr>
          <w:rFonts w:asciiTheme="minorHAnsi" w:hAnsiTheme="minorHAnsi"/>
          <w:sz w:val="22"/>
          <w:szCs w:val="22"/>
        </w:rPr>
        <w:t xml:space="preserve"> spadek inwestycji w kapitał trwały i wzrost zapasów)</w:t>
      </w:r>
    </w:p>
    <w:p w14:paraId="2D35A389" w14:textId="77777777" w:rsidR="00354A0D" w:rsidRPr="00EF477F" w:rsidRDefault="00354A0D" w:rsidP="00354A0D">
      <w:pPr>
        <w:pStyle w:val="Tekstpodstawowy"/>
        <w:widowControl w:val="0"/>
        <w:numPr>
          <w:ilvl w:val="0"/>
          <w:numId w:val="6"/>
        </w:numPr>
        <w:suppressAutoHyphens/>
        <w:rPr>
          <w:rFonts w:asciiTheme="minorHAnsi" w:hAnsiTheme="minorHAnsi"/>
          <w:b/>
          <w:sz w:val="22"/>
          <w:szCs w:val="22"/>
        </w:rPr>
      </w:pPr>
      <w:proofErr w:type="spellStart"/>
      <w:r w:rsidRPr="00EF477F">
        <w:rPr>
          <w:rFonts w:asciiTheme="minorHAnsi" w:hAnsiTheme="minorHAnsi"/>
          <w:b/>
          <w:sz w:val="22"/>
          <w:szCs w:val="22"/>
        </w:rPr>
        <w:t>Procykliczny</w:t>
      </w:r>
      <w:proofErr w:type="spellEnd"/>
      <w:r w:rsidRPr="00EF477F">
        <w:rPr>
          <w:rFonts w:asciiTheme="minorHAnsi" w:hAnsiTheme="minorHAnsi"/>
          <w:b/>
          <w:sz w:val="22"/>
          <w:szCs w:val="22"/>
        </w:rPr>
        <w:t xml:space="preserve"> charakter kredytów i agregatów pieniężnych.</w:t>
      </w:r>
    </w:p>
    <w:p w14:paraId="7DCF9070" w14:textId="77777777" w:rsidR="00354A0D" w:rsidRPr="00EF477F" w:rsidRDefault="00354A0D" w:rsidP="00354A0D">
      <w:pPr>
        <w:pStyle w:val="Tekstpodstawowy"/>
        <w:ind w:left="720"/>
        <w:rPr>
          <w:rFonts w:asciiTheme="minorHAnsi" w:hAnsiTheme="minorHAnsi"/>
          <w:sz w:val="22"/>
          <w:szCs w:val="22"/>
        </w:rPr>
      </w:pPr>
      <w:r w:rsidRPr="00EF477F">
        <w:rPr>
          <w:rFonts w:asciiTheme="minorHAnsi" w:hAnsiTheme="minorHAnsi"/>
          <w:sz w:val="22"/>
          <w:szCs w:val="22"/>
        </w:rPr>
        <w:t>(w okresie recesji wykazują one malejące tempo wzrostu, a nie spadek absolutny)</w:t>
      </w:r>
    </w:p>
    <w:p w14:paraId="1EE51871" w14:textId="77777777" w:rsidR="00354A0D" w:rsidRPr="00EF477F" w:rsidRDefault="00354A0D" w:rsidP="00354A0D">
      <w:pPr>
        <w:pStyle w:val="Tekstpodstawowy"/>
        <w:widowControl w:val="0"/>
        <w:numPr>
          <w:ilvl w:val="0"/>
          <w:numId w:val="6"/>
        </w:numPr>
        <w:suppressAutoHyphens/>
        <w:rPr>
          <w:rFonts w:asciiTheme="minorHAnsi" w:hAnsiTheme="minorHAnsi"/>
          <w:b/>
          <w:sz w:val="22"/>
          <w:szCs w:val="22"/>
        </w:rPr>
      </w:pPr>
      <w:r w:rsidRPr="00EF477F">
        <w:rPr>
          <w:rFonts w:asciiTheme="minorHAnsi" w:hAnsiTheme="minorHAnsi"/>
          <w:b/>
          <w:sz w:val="22"/>
          <w:szCs w:val="22"/>
        </w:rPr>
        <w:t>Rosnąca zgodność wahań koniunkturalnych miedzy krajami.</w:t>
      </w:r>
    </w:p>
    <w:p w14:paraId="55E7755A" w14:textId="77777777" w:rsidR="00354A0D" w:rsidRPr="00EF477F" w:rsidRDefault="00354A0D" w:rsidP="00354A0D">
      <w:pPr>
        <w:pStyle w:val="Tekstpodstawowy"/>
        <w:ind w:left="720"/>
        <w:rPr>
          <w:rFonts w:asciiTheme="minorHAnsi" w:hAnsiTheme="minorHAnsi"/>
          <w:sz w:val="22"/>
          <w:szCs w:val="22"/>
        </w:rPr>
      </w:pPr>
      <w:r w:rsidRPr="00EF477F">
        <w:rPr>
          <w:rFonts w:asciiTheme="minorHAnsi" w:hAnsiTheme="minorHAnsi"/>
          <w:sz w:val="22"/>
          <w:szCs w:val="22"/>
        </w:rPr>
        <w:t>(co jest efektem zmian zachodzących w gospodarce światowej: liberalizacja przepływów towarów i kapitałów, system płynnych kursów walutowych, arbitraż międzynarodowy).</w:t>
      </w:r>
    </w:p>
    <w:p w14:paraId="2B8DD06B" w14:textId="77777777" w:rsidR="00354A0D" w:rsidRPr="00EF477F" w:rsidRDefault="00354A0D" w:rsidP="00354A0D">
      <w:pPr>
        <w:pStyle w:val="Nagwek2"/>
        <w:ind w:left="1254" w:firstLine="0"/>
        <w:rPr>
          <w:rFonts w:asciiTheme="minorHAnsi" w:hAnsiTheme="minorHAnsi"/>
          <w:sz w:val="24"/>
          <w:szCs w:val="24"/>
        </w:rPr>
      </w:pPr>
      <w:r w:rsidRPr="00EF477F">
        <w:rPr>
          <w:rFonts w:asciiTheme="minorHAnsi" w:hAnsiTheme="minorHAnsi"/>
          <w:sz w:val="24"/>
          <w:szCs w:val="24"/>
        </w:rPr>
        <w:t>7.2.Ogólne zasady analizy koniunktury</w:t>
      </w:r>
    </w:p>
    <w:p w14:paraId="7A8160B9" w14:textId="77777777" w:rsidR="00354A0D" w:rsidRPr="00EF477F" w:rsidRDefault="00354A0D" w:rsidP="00354A0D">
      <w:pPr>
        <w:pStyle w:val="Tekstpodstawowy"/>
        <w:rPr>
          <w:rFonts w:asciiTheme="minorHAnsi" w:hAnsiTheme="minorHAnsi"/>
          <w:sz w:val="22"/>
          <w:szCs w:val="22"/>
        </w:rPr>
      </w:pPr>
    </w:p>
    <w:p w14:paraId="5068A0D4" w14:textId="77777777" w:rsidR="00354A0D" w:rsidRPr="00EF477F" w:rsidRDefault="00354A0D" w:rsidP="00354A0D">
      <w:pPr>
        <w:pStyle w:val="Tekstpodstawowy"/>
        <w:rPr>
          <w:rFonts w:asciiTheme="minorHAnsi" w:hAnsiTheme="minorHAnsi"/>
          <w:color w:val="000000"/>
          <w:sz w:val="22"/>
          <w:szCs w:val="22"/>
        </w:rPr>
      </w:pPr>
      <w:r w:rsidRPr="00EF477F">
        <w:rPr>
          <w:rFonts w:asciiTheme="minorHAnsi" w:hAnsiTheme="minorHAnsi"/>
          <w:color w:val="000000"/>
          <w:sz w:val="22"/>
          <w:szCs w:val="22"/>
          <w:u w:val="single"/>
        </w:rPr>
        <w:t xml:space="preserve">Analizie poddaje się przede wszystkim </w:t>
      </w:r>
      <w:r w:rsidRPr="00EF477F">
        <w:rPr>
          <w:rFonts w:asciiTheme="minorHAnsi" w:hAnsiTheme="minorHAnsi"/>
          <w:b/>
          <w:bCs/>
          <w:color w:val="000000"/>
          <w:sz w:val="22"/>
          <w:szCs w:val="22"/>
          <w:u w:val="single"/>
        </w:rPr>
        <w:t>podaż</w:t>
      </w:r>
      <w:r w:rsidRPr="00EF477F">
        <w:rPr>
          <w:rFonts w:asciiTheme="minorHAnsi" w:hAnsiTheme="minorHAnsi"/>
          <w:color w:val="000000"/>
          <w:sz w:val="22"/>
          <w:szCs w:val="22"/>
        </w:rPr>
        <w:t xml:space="preserve">, której syntetycznym wyrazem jest PKB. Miernik ten podlega następnie rozbiciu i wyodrębnia się następujące składniki podaży: </w:t>
      </w:r>
    </w:p>
    <w:p w14:paraId="58EEB629" w14:textId="77777777" w:rsidR="00354A0D" w:rsidRPr="00EF477F" w:rsidRDefault="00354A0D" w:rsidP="00354A0D">
      <w:pPr>
        <w:pStyle w:val="Tekstpodstawowy"/>
        <w:rPr>
          <w:rFonts w:asciiTheme="minorHAnsi" w:hAnsiTheme="minorHAnsi"/>
          <w:color w:val="000000"/>
          <w:sz w:val="22"/>
          <w:szCs w:val="22"/>
        </w:rPr>
      </w:pPr>
    </w:p>
    <w:p w14:paraId="58CF383B" w14:textId="77777777" w:rsidR="00354A0D" w:rsidRPr="00EF477F" w:rsidRDefault="00354A0D" w:rsidP="00354A0D">
      <w:pPr>
        <w:pStyle w:val="Tekstpodstawowy"/>
        <w:numPr>
          <w:ilvl w:val="0"/>
          <w:numId w:val="1"/>
        </w:numPr>
        <w:rPr>
          <w:rFonts w:asciiTheme="minorHAnsi" w:hAnsiTheme="minorHAnsi"/>
          <w:color w:val="000000"/>
          <w:sz w:val="22"/>
          <w:szCs w:val="22"/>
        </w:rPr>
      </w:pPr>
      <w:r w:rsidRPr="00EF477F">
        <w:rPr>
          <w:rFonts w:asciiTheme="minorHAnsi" w:hAnsiTheme="minorHAnsi"/>
          <w:b/>
          <w:bCs/>
          <w:color w:val="000000"/>
          <w:sz w:val="22"/>
          <w:szCs w:val="22"/>
        </w:rPr>
        <w:t xml:space="preserve">Przemysł </w:t>
      </w:r>
      <w:r w:rsidRPr="00EF477F">
        <w:rPr>
          <w:rFonts w:asciiTheme="minorHAnsi" w:hAnsiTheme="minorHAnsi"/>
          <w:color w:val="000000"/>
          <w:sz w:val="22"/>
          <w:szCs w:val="22"/>
        </w:rPr>
        <w:t>- wolumen produkcji, wartość produkcji, dynamika zdolności wytwórczych, stopień wykorzystania aparatu produkcyjnego, zatrudnienie, portfel zamówień, dynamika zapewnionego zbytu (zamówienia w stosunku do wielkości produkcji), zapasy u producentów, stosunek zapasów do bieżącej produkcji.</w:t>
      </w:r>
    </w:p>
    <w:p w14:paraId="20AD1A82" w14:textId="77777777" w:rsidR="00354A0D" w:rsidRPr="00EF477F" w:rsidRDefault="00354A0D" w:rsidP="00354A0D">
      <w:pPr>
        <w:pStyle w:val="Tekstpodstawowy"/>
        <w:ind w:left="708"/>
        <w:rPr>
          <w:rFonts w:asciiTheme="minorHAnsi" w:hAnsiTheme="minorHAnsi"/>
          <w:color w:val="000000"/>
          <w:sz w:val="22"/>
          <w:szCs w:val="22"/>
        </w:rPr>
      </w:pPr>
      <w:r w:rsidRPr="00EF477F">
        <w:rPr>
          <w:rFonts w:asciiTheme="minorHAnsi" w:hAnsiTheme="minorHAnsi"/>
          <w:color w:val="000000"/>
          <w:sz w:val="22"/>
          <w:szCs w:val="22"/>
        </w:rPr>
        <w:t>Niski stopień wykorzystania aparatu produkcyjnego oznacza znaczne możliwości wzrostu produkcji bieżącej i zniechęca do inwestycji. Przekraczający 95% niesie ryzyko napięć inflacyjnych.</w:t>
      </w:r>
    </w:p>
    <w:p w14:paraId="2BDEB65C" w14:textId="77777777" w:rsidR="00354A0D" w:rsidRPr="00EF477F" w:rsidRDefault="00354A0D" w:rsidP="00354A0D">
      <w:pPr>
        <w:pStyle w:val="Tekstpodstawowy"/>
        <w:rPr>
          <w:rFonts w:asciiTheme="minorHAnsi" w:hAnsiTheme="minorHAnsi"/>
          <w:color w:val="000000"/>
          <w:sz w:val="22"/>
          <w:szCs w:val="22"/>
        </w:rPr>
      </w:pPr>
    </w:p>
    <w:p w14:paraId="1A06A5B1" w14:textId="77777777" w:rsidR="00354A0D" w:rsidRPr="00EF477F" w:rsidRDefault="00354A0D" w:rsidP="00354A0D">
      <w:pPr>
        <w:numPr>
          <w:ilvl w:val="0"/>
          <w:numId w:val="1"/>
        </w:numPr>
        <w:spacing w:after="0" w:line="240" w:lineRule="auto"/>
        <w:jc w:val="both"/>
        <w:rPr>
          <w:color w:val="000000"/>
        </w:rPr>
      </w:pPr>
      <w:r w:rsidRPr="00EF477F">
        <w:rPr>
          <w:b/>
          <w:bCs/>
          <w:color w:val="000000"/>
        </w:rPr>
        <w:t xml:space="preserve">Rolnictwo </w:t>
      </w:r>
      <w:r w:rsidRPr="00EF477F">
        <w:rPr>
          <w:i/>
          <w:iCs/>
          <w:color w:val="000000"/>
        </w:rPr>
        <w:t>(ujmowane jest często z leśnictwem, myślistwem i rybołówstwem)</w:t>
      </w:r>
      <w:r w:rsidRPr="00EF477F">
        <w:rPr>
          <w:iCs/>
          <w:color w:val="000000"/>
        </w:rPr>
        <w:t xml:space="preserve"> -</w:t>
      </w:r>
      <w:r w:rsidRPr="00EF477F">
        <w:rPr>
          <w:i/>
          <w:iCs/>
          <w:color w:val="000000"/>
        </w:rPr>
        <w:t xml:space="preserve"> </w:t>
      </w:r>
      <w:r w:rsidRPr="00EF477F">
        <w:rPr>
          <w:color w:val="000000"/>
        </w:rPr>
        <w:t>produkcja globalna roślinna i zwierzęca, poziom cen ze względu na rolę w równoważeniu rynku, a także ich relacja w stosunku do cen artykułów przemysłowych (nożyce cen) - rentowność produkcji.</w:t>
      </w:r>
    </w:p>
    <w:p w14:paraId="0C0F289B" w14:textId="77777777" w:rsidR="00354A0D" w:rsidRPr="00EF477F" w:rsidRDefault="00354A0D" w:rsidP="00354A0D">
      <w:pPr>
        <w:numPr>
          <w:ilvl w:val="0"/>
          <w:numId w:val="7"/>
        </w:numPr>
        <w:spacing w:after="0" w:line="240" w:lineRule="auto"/>
        <w:jc w:val="both"/>
        <w:rPr>
          <w:color w:val="000000"/>
        </w:rPr>
      </w:pPr>
      <w:r w:rsidRPr="00EF477F">
        <w:rPr>
          <w:color w:val="000000"/>
        </w:rPr>
        <w:t>Zmiany produkcji rolnej badane są w okresach rocznych (cykl produkcji rolnej).</w:t>
      </w:r>
    </w:p>
    <w:p w14:paraId="3C9589B7" w14:textId="77777777" w:rsidR="00354A0D" w:rsidRPr="00EF477F" w:rsidRDefault="00354A0D" w:rsidP="00354A0D">
      <w:pPr>
        <w:numPr>
          <w:ilvl w:val="0"/>
          <w:numId w:val="7"/>
        </w:numPr>
        <w:spacing w:after="0" w:line="240" w:lineRule="auto"/>
        <w:jc w:val="both"/>
        <w:rPr>
          <w:color w:val="000000"/>
        </w:rPr>
      </w:pPr>
      <w:r w:rsidRPr="00EF477F">
        <w:rPr>
          <w:color w:val="000000"/>
        </w:rPr>
        <w:t>Rolnictwo podlega silnemu wpływowi czynników zakłócających.</w:t>
      </w:r>
    </w:p>
    <w:p w14:paraId="4FD10F4A" w14:textId="77777777" w:rsidR="00354A0D" w:rsidRPr="00EF477F" w:rsidRDefault="00354A0D" w:rsidP="00354A0D">
      <w:pPr>
        <w:numPr>
          <w:ilvl w:val="0"/>
          <w:numId w:val="7"/>
        </w:numPr>
        <w:spacing w:after="0" w:line="240" w:lineRule="auto"/>
        <w:jc w:val="both"/>
        <w:rPr>
          <w:color w:val="000000"/>
        </w:rPr>
      </w:pPr>
      <w:r w:rsidRPr="00EF477F">
        <w:rPr>
          <w:color w:val="000000"/>
        </w:rPr>
        <w:t>W rolnictwie występują cykle specjalne (np. świński).</w:t>
      </w:r>
    </w:p>
    <w:p w14:paraId="2244739C" w14:textId="77777777" w:rsidR="00354A0D" w:rsidRPr="00EF477F" w:rsidRDefault="00354A0D" w:rsidP="00354A0D">
      <w:pPr>
        <w:numPr>
          <w:ilvl w:val="0"/>
          <w:numId w:val="7"/>
        </w:numPr>
        <w:spacing w:after="0" w:line="240" w:lineRule="auto"/>
        <w:jc w:val="both"/>
        <w:rPr>
          <w:color w:val="000000"/>
        </w:rPr>
      </w:pPr>
      <w:r w:rsidRPr="00EF477F">
        <w:rPr>
          <w:color w:val="000000"/>
        </w:rPr>
        <w:t>W krajach rozwiniętych rolnictwo nie jest znaczącym działem gospodarki.</w:t>
      </w:r>
    </w:p>
    <w:p w14:paraId="3713E676" w14:textId="77777777" w:rsidR="00354A0D" w:rsidRPr="00EF477F" w:rsidRDefault="00354A0D" w:rsidP="00354A0D">
      <w:pPr>
        <w:numPr>
          <w:ilvl w:val="0"/>
          <w:numId w:val="7"/>
        </w:numPr>
        <w:spacing w:after="0" w:line="240" w:lineRule="auto"/>
        <w:jc w:val="both"/>
        <w:rPr>
          <w:color w:val="000000"/>
        </w:rPr>
      </w:pPr>
      <w:r w:rsidRPr="00EF477F">
        <w:rPr>
          <w:color w:val="000000"/>
        </w:rPr>
        <w:t>W wielu krajach rozbudowana jest w rolnictwie interwencja państwa, deformująca lub zastępująca mechanizmy rynkowe.</w:t>
      </w:r>
    </w:p>
    <w:p w14:paraId="117D1EF4" w14:textId="77777777" w:rsidR="00354A0D" w:rsidRPr="00EF477F" w:rsidRDefault="00354A0D" w:rsidP="00354A0D">
      <w:pPr>
        <w:pStyle w:val="Tekstpodstawowy"/>
        <w:rPr>
          <w:rFonts w:asciiTheme="minorHAnsi" w:hAnsiTheme="minorHAnsi"/>
          <w:color w:val="00B050"/>
          <w:sz w:val="22"/>
          <w:szCs w:val="22"/>
        </w:rPr>
      </w:pPr>
    </w:p>
    <w:p w14:paraId="08192134" w14:textId="77777777" w:rsidR="00354A0D" w:rsidRPr="00EF477F" w:rsidRDefault="00354A0D" w:rsidP="00354A0D">
      <w:pPr>
        <w:numPr>
          <w:ilvl w:val="0"/>
          <w:numId w:val="7"/>
        </w:numPr>
        <w:tabs>
          <w:tab w:val="clear" w:pos="1440"/>
        </w:tabs>
        <w:spacing w:after="0" w:line="240" w:lineRule="auto"/>
        <w:ind w:left="709"/>
        <w:jc w:val="both"/>
        <w:rPr>
          <w:bCs/>
          <w:color w:val="000000"/>
        </w:rPr>
      </w:pPr>
      <w:r w:rsidRPr="00EF477F">
        <w:rPr>
          <w:b/>
          <w:color w:val="000000"/>
        </w:rPr>
        <w:t>Budownictwo</w:t>
      </w:r>
      <w:r w:rsidRPr="00EF477F">
        <w:rPr>
          <w:bCs/>
          <w:color w:val="000000"/>
        </w:rPr>
        <w:t xml:space="preserve"> - obok typowych wskaźników dla przemysłu, także: zezwolenia budowlane, roboty w toku (mające o tyle znaczenie iż są w zasadzie kontynuowane niezależnie od koniunktury), wartość lub liczba obiektów oddanych do użytku w okresie sprawozdawczym.</w:t>
      </w:r>
    </w:p>
    <w:p w14:paraId="471B81F6" w14:textId="77777777" w:rsidR="00354A0D" w:rsidRPr="00EF477F" w:rsidRDefault="00354A0D" w:rsidP="00354A0D">
      <w:pPr>
        <w:spacing w:after="0" w:line="240" w:lineRule="auto"/>
        <w:jc w:val="both"/>
        <w:rPr>
          <w:bCs/>
          <w:color w:val="000000"/>
        </w:rPr>
      </w:pPr>
    </w:p>
    <w:p w14:paraId="05558B72" w14:textId="77777777" w:rsidR="00354A0D" w:rsidRPr="00EF477F" w:rsidRDefault="00354A0D" w:rsidP="00354A0D">
      <w:pPr>
        <w:numPr>
          <w:ilvl w:val="0"/>
          <w:numId w:val="7"/>
        </w:numPr>
        <w:tabs>
          <w:tab w:val="clear" w:pos="1440"/>
        </w:tabs>
        <w:spacing w:after="0" w:line="240" w:lineRule="auto"/>
        <w:ind w:left="709"/>
        <w:jc w:val="both"/>
        <w:rPr>
          <w:bCs/>
          <w:color w:val="000000"/>
        </w:rPr>
      </w:pPr>
      <w:r w:rsidRPr="00EF477F">
        <w:rPr>
          <w:b/>
          <w:bCs/>
          <w:color w:val="000000"/>
        </w:rPr>
        <w:t>T</w:t>
      </w:r>
      <w:r w:rsidRPr="00EF477F">
        <w:rPr>
          <w:b/>
          <w:color w:val="000000"/>
        </w:rPr>
        <w:t xml:space="preserve">ransport - </w:t>
      </w:r>
      <w:r w:rsidRPr="00EF477F">
        <w:rPr>
          <w:bCs/>
          <w:color w:val="000000"/>
        </w:rPr>
        <w:t>czuły miernik koniunktury (każdy wyrób gotowy, surowce i materiały muszą być dowiezione) -  wielkość i struktura przewozów.</w:t>
      </w:r>
    </w:p>
    <w:p w14:paraId="3DD3360F" w14:textId="77777777" w:rsidR="00354A0D" w:rsidRPr="00EF477F" w:rsidRDefault="00354A0D" w:rsidP="00354A0D">
      <w:pPr>
        <w:pStyle w:val="Akapitzlist"/>
        <w:spacing w:after="0" w:line="240" w:lineRule="auto"/>
        <w:rPr>
          <w:b/>
          <w:color w:val="000000"/>
        </w:rPr>
      </w:pPr>
    </w:p>
    <w:p w14:paraId="6ACDA647" w14:textId="77777777" w:rsidR="00354A0D" w:rsidRPr="00EF477F" w:rsidRDefault="00354A0D" w:rsidP="00354A0D">
      <w:pPr>
        <w:numPr>
          <w:ilvl w:val="0"/>
          <w:numId w:val="7"/>
        </w:numPr>
        <w:tabs>
          <w:tab w:val="clear" w:pos="1440"/>
        </w:tabs>
        <w:spacing w:after="0" w:line="240" w:lineRule="auto"/>
        <w:ind w:left="709"/>
        <w:jc w:val="both"/>
        <w:rPr>
          <w:bCs/>
          <w:color w:val="000000"/>
        </w:rPr>
      </w:pPr>
      <w:r w:rsidRPr="00EF477F">
        <w:rPr>
          <w:b/>
          <w:color w:val="000000"/>
        </w:rPr>
        <w:t xml:space="preserve">Usługi </w:t>
      </w:r>
      <w:r w:rsidRPr="00EF477F">
        <w:rPr>
          <w:bCs/>
          <w:color w:val="000000"/>
        </w:rPr>
        <w:t>- traktuje się zazwyczaj jako agregat, z wyodrębnieniem handlu z podziałem na hurtowy i detaliczny.</w:t>
      </w:r>
    </w:p>
    <w:p w14:paraId="6E70E0E9" w14:textId="77777777" w:rsidR="00354A0D" w:rsidRPr="00EF477F" w:rsidRDefault="00354A0D" w:rsidP="00354A0D">
      <w:pPr>
        <w:pStyle w:val="Tekstpodstawowy"/>
        <w:rPr>
          <w:rFonts w:asciiTheme="minorHAnsi" w:hAnsiTheme="minorHAnsi"/>
          <w:sz w:val="22"/>
          <w:szCs w:val="22"/>
        </w:rPr>
      </w:pPr>
    </w:p>
    <w:p w14:paraId="7B7132DE" w14:textId="77777777" w:rsidR="00354A0D" w:rsidRPr="00EF477F" w:rsidRDefault="00354A0D" w:rsidP="00354A0D">
      <w:pPr>
        <w:spacing w:after="0" w:line="240" w:lineRule="auto"/>
        <w:jc w:val="both"/>
        <w:rPr>
          <w:bCs/>
          <w:color w:val="000000"/>
        </w:rPr>
      </w:pPr>
      <w:r w:rsidRPr="00EF477F">
        <w:rPr>
          <w:bCs/>
          <w:color w:val="000000"/>
          <w:u w:val="single"/>
        </w:rPr>
        <w:t xml:space="preserve">Analiza koniunktury - podejście od strony </w:t>
      </w:r>
      <w:r w:rsidRPr="00EF477F">
        <w:rPr>
          <w:b/>
          <w:color w:val="000000"/>
          <w:u w:val="single"/>
        </w:rPr>
        <w:t>popytowej.</w:t>
      </w:r>
      <w:r w:rsidRPr="00EF477F">
        <w:rPr>
          <w:bCs/>
          <w:color w:val="000000"/>
        </w:rPr>
        <w:t xml:space="preserve"> </w:t>
      </w:r>
    </w:p>
    <w:p w14:paraId="40B961F7" w14:textId="77777777" w:rsidR="00354A0D" w:rsidRPr="00EF477F" w:rsidRDefault="00354A0D" w:rsidP="00354A0D">
      <w:pPr>
        <w:spacing w:after="0" w:line="240" w:lineRule="auto"/>
        <w:jc w:val="both"/>
        <w:rPr>
          <w:bCs/>
          <w:color w:val="000000"/>
        </w:rPr>
      </w:pPr>
    </w:p>
    <w:p w14:paraId="22F00930" w14:textId="77777777" w:rsidR="00354A0D" w:rsidRPr="00EF477F" w:rsidRDefault="00354A0D" w:rsidP="00354A0D">
      <w:pPr>
        <w:spacing w:after="0" w:line="240" w:lineRule="auto"/>
        <w:jc w:val="both"/>
        <w:rPr>
          <w:bCs/>
          <w:color w:val="000000"/>
        </w:rPr>
      </w:pPr>
      <w:r w:rsidRPr="00EF477F">
        <w:rPr>
          <w:bCs/>
          <w:color w:val="000000"/>
        </w:rPr>
        <w:t>Podstawowym składnikiem popytu są:</w:t>
      </w:r>
    </w:p>
    <w:p w14:paraId="6D9D42B6" w14:textId="77777777" w:rsidR="00354A0D" w:rsidRPr="00EF477F" w:rsidRDefault="00354A0D" w:rsidP="00354A0D">
      <w:pPr>
        <w:spacing w:after="0" w:line="240" w:lineRule="auto"/>
        <w:jc w:val="both"/>
        <w:rPr>
          <w:bCs/>
          <w:color w:val="000000"/>
        </w:rPr>
      </w:pPr>
    </w:p>
    <w:p w14:paraId="45153CDF" w14:textId="77777777" w:rsidR="00354A0D" w:rsidRPr="00EF477F" w:rsidRDefault="00354A0D" w:rsidP="00354A0D">
      <w:pPr>
        <w:numPr>
          <w:ilvl w:val="0"/>
          <w:numId w:val="13"/>
        </w:numPr>
        <w:spacing w:after="0" w:line="240" w:lineRule="auto"/>
        <w:jc w:val="both"/>
        <w:rPr>
          <w:bCs/>
          <w:color w:val="000000"/>
        </w:rPr>
      </w:pPr>
      <w:r w:rsidRPr="00EF477F">
        <w:rPr>
          <w:b/>
          <w:color w:val="000000"/>
        </w:rPr>
        <w:t xml:space="preserve">Konsumpcja </w:t>
      </w:r>
      <w:r w:rsidRPr="00EF477F">
        <w:rPr>
          <w:bCs/>
          <w:color w:val="000000"/>
        </w:rPr>
        <w:t>(ze znacznie większym udziałem):</w:t>
      </w:r>
    </w:p>
    <w:p w14:paraId="5ACD217C" w14:textId="77777777" w:rsidR="00354A0D" w:rsidRPr="00EF477F" w:rsidRDefault="00354A0D" w:rsidP="00354A0D">
      <w:pPr>
        <w:pStyle w:val="Nagwek7"/>
        <w:keepNext/>
        <w:numPr>
          <w:ilvl w:val="0"/>
          <w:numId w:val="8"/>
        </w:numPr>
        <w:tabs>
          <w:tab w:val="clear" w:pos="720"/>
          <w:tab w:val="num" w:pos="1440"/>
        </w:tabs>
        <w:spacing w:before="0" w:after="0" w:line="240" w:lineRule="auto"/>
        <w:ind w:left="1440"/>
        <w:jc w:val="both"/>
        <w:rPr>
          <w:rFonts w:asciiTheme="minorHAnsi" w:hAnsiTheme="minorHAnsi"/>
          <w:color w:val="000000"/>
          <w:sz w:val="22"/>
          <w:szCs w:val="22"/>
        </w:rPr>
      </w:pPr>
      <w:r w:rsidRPr="00EF477F">
        <w:rPr>
          <w:rFonts w:asciiTheme="minorHAnsi" w:hAnsiTheme="minorHAnsi"/>
          <w:color w:val="000000"/>
          <w:sz w:val="22"/>
          <w:szCs w:val="22"/>
        </w:rPr>
        <w:lastRenderedPageBreak/>
        <w:t xml:space="preserve">Jeżeli informacja statystyczna </w:t>
      </w:r>
      <w:r w:rsidRPr="00EF477F">
        <w:rPr>
          <w:rFonts w:asciiTheme="minorHAnsi" w:hAnsiTheme="minorHAnsi"/>
          <w:color w:val="000000"/>
          <w:sz w:val="22"/>
          <w:szCs w:val="22"/>
          <w:u w:val="single"/>
        </w:rPr>
        <w:t>jest dostępna</w:t>
      </w:r>
      <w:r w:rsidRPr="00EF477F">
        <w:rPr>
          <w:rFonts w:asciiTheme="minorHAnsi" w:hAnsiTheme="minorHAnsi"/>
          <w:color w:val="000000"/>
          <w:sz w:val="22"/>
          <w:szCs w:val="22"/>
        </w:rPr>
        <w:t xml:space="preserve"> – wyodrębnia się: usługi, żywność, trwałe dobra konsumpcyjne, wydatki na odzież i obuwie oraz cele mieszkaniowe.</w:t>
      </w:r>
    </w:p>
    <w:p w14:paraId="0A8A7029" w14:textId="77777777" w:rsidR="00354A0D" w:rsidRPr="00EF477F" w:rsidRDefault="00354A0D" w:rsidP="00354A0D">
      <w:pPr>
        <w:pStyle w:val="Nagwek7"/>
        <w:keepNext/>
        <w:numPr>
          <w:ilvl w:val="0"/>
          <w:numId w:val="8"/>
        </w:numPr>
        <w:tabs>
          <w:tab w:val="clear" w:pos="720"/>
          <w:tab w:val="num" w:pos="1440"/>
        </w:tabs>
        <w:spacing w:before="0" w:after="0" w:line="240" w:lineRule="auto"/>
        <w:ind w:left="1440"/>
        <w:jc w:val="both"/>
        <w:rPr>
          <w:rFonts w:asciiTheme="minorHAnsi" w:hAnsiTheme="minorHAnsi"/>
          <w:color w:val="000000"/>
          <w:sz w:val="22"/>
          <w:szCs w:val="22"/>
          <w:u w:val="single"/>
        </w:rPr>
      </w:pPr>
      <w:r w:rsidRPr="00EF477F">
        <w:rPr>
          <w:rFonts w:asciiTheme="minorHAnsi" w:hAnsiTheme="minorHAnsi"/>
          <w:color w:val="000000"/>
          <w:sz w:val="22"/>
          <w:szCs w:val="22"/>
          <w:u w:val="single"/>
        </w:rPr>
        <w:t>Brak danych</w:t>
      </w:r>
      <w:r w:rsidRPr="00EF477F">
        <w:rPr>
          <w:rFonts w:asciiTheme="minorHAnsi" w:hAnsiTheme="minorHAnsi"/>
          <w:color w:val="000000"/>
          <w:sz w:val="22"/>
          <w:szCs w:val="22"/>
        </w:rPr>
        <w:t xml:space="preserve"> wymaga szacunków na podstawie informacji pośrednich o dochodach lub sprzedaży w sieci handlu detalicznego.</w:t>
      </w:r>
    </w:p>
    <w:p w14:paraId="7BFD8DC3" w14:textId="77777777" w:rsidR="00354A0D" w:rsidRPr="00EF477F" w:rsidRDefault="00354A0D" w:rsidP="00354A0D">
      <w:pPr>
        <w:pStyle w:val="Nagwek7"/>
        <w:spacing w:after="0" w:line="240" w:lineRule="auto"/>
        <w:ind w:left="708"/>
        <w:jc w:val="both"/>
        <w:rPr>
          <w:rFonts w:asciiTheme="minorHAnsi" w:hAnsiTheme="minorHAnsi"/>
          <w:color w:val="000000"/>
          <w:sz w:val="22"/>
          <w:szCs w:val="22"/>
          <w:u w:val="single"/>
        </w:rPr>
      </w:pPr>
      <w:r w:rsidRPr="00EF477F">
        <w:rPr>
          <w:rFonts w:asciiTheme="minorHAnsi" w:hAnsiTheme="minorHAnsi"/>
          <w:color w:val="000000"/>
          <w:sz w:val="22"/>
          <w:szCs w:val="22"/>
        </w:rPr>
        <w:t xml:space="preserve">W </w:t>
      </w:r>
      <w:r w:rsidRPr="00EF477F">
        <w:rPr>
          <w:rFonts w:asciiTheme="minorHAnsi" w:hAnsiTheme="minorHAnsi"/>
          <w:bCs/>
          <w:i/>
          <w:iCs/>
          <w:color w:val="000000"/>
          <w:sz w:val="22"/>
          <w:szCs w:val="22"/>
        </w:rPr>
        <w:t>metodzie dochodowej</w:t>
      </w:r>
      <w:r w:rsidRPr="00EF477F">
        <w:rPr>
          <w:rFonts w:asciiTheme="minorHAnsi" w:hAnsiTheme="minorHAnsi"/>
          <w:color w:val="000000"/>
          <w:sz w:val="22"/>
          <w:szCs w:val="22"/>
        </w:rPr>
        <w:t xml:space="preserve"> uwzględnia się: płace, renty i emerytury, transfery (stypendia, zasiłki), dochody z własności itp.</w:t>
      </w:r>
    </w:p>
    <w:p w14:paraId="49346CDF" w14:textId="77777777" w:rsidR="00354A0D" w:rsidRPr="00EF477F" w:rsidRDefault="00354A0D" w:rsidP="00354A0D">
      <w:pPr>
        <w:spacing w:after="0" w:line="240" w:lineRule="auto"/>
        <w:ind w:left="708"/>
        <w:jc w:val="both"/>
        <w:rPr>
          <w:color w:val="000000"/>
        </w:rPr>
      </w:pPr>
      <w:r w:rsidRPr="00EF477F">
        <w:rPr>
          <w:color w:val="000000"/>
        </w:rPr>
        <w:t xml:space="preserve">W </w:t>
      </w:r>
      <w:r w:rsidRPr="00EF477F">
        <w:rPr>
          <w:bCs/>
          <w:i/>
          <w:iCs/>
          <w:color w:val="000000"/>
        </w:rPr>
        <w:t>metodzie bezpośredniej</w:t>
      </w:r>
      <w:r w:rsidRPr="00EF477F">
        <w:rPr>
          <w:color w:val="000000"/>
        </w:rPr>
        <w:t xml:space="preserve"> podstawą są obroty w sieci handlu.</w:t>
      </w:r>
    </w:p>
    <w:p w14:paraId="7B418ABD" w14:textId="77777777" w:rsidR="00354A0D" w:rsidRPr="00EF477F" w:rsidRDefault="00354A0D" w:rsidP="00354A0D">
      <w:pPr>
        <w:spacing w:after="0" w:line="240" w:lineRule="auto"/>
        <w:jc w:val="both"/>
        <w:rPr>
          <w:color w:val="000000"/>
        </w:rPr>
      </w:pPr>
    </w:p>
    <w:p w14:paraId="1C746BCC" w14:textId="77777777" w:rsidR="00354A0D" w:rsidRPr="00EF477F" w:rsidRDefault="00354A0D" w:rsidP="00354A0D">
      <w:pPr>
        <w:numPr>
          <w:ilvl w:val="0"/>
          <w:numId w:val="13"/>
        </w:numPr>
        <w:spacing w:after="0" w:line="240" w:lineRule="auto"/>
        <w:jc w:val="both"/>
        <w:rPr>
          <w:bCs/>
          <w:color w:val="000000"/>
        </w:rPr>
      </w:pPr>
      <w:r w:rsidRPr="00EF477F">
        <w:rPr>
          <w:b/>
          <w:color w:val="000000"/>
        </w:rPr>
        <w:t xml:space="preserve">Inwestycje </w:t>
      </w:r>
      <w:r w:rsidRPr="00EF477F">
        <w:rPr>
          <w:color w:val="000000"/>
        </w:rPr>
        <w:t>(</w:t>
      </w:r>
      <w:r w:rsidRPr="00EF477F">
        <w:rPr>
          <w:bCs/>
          <w:color w:val="000000"/>
        </w:rPr>
        <w:t>ze znacznie większymi wahaniami, przez co bardziej wpływające na cykl koniunkturalny)</w:t>
      </w:r>
      <w:r w:rsidRPr="00EF477F">
        <w:rPr>
          <w:b/>
          <w:color w:val="000000"/>
        </w:rPr>
        <w:t xml:space="preserve">- </w:t>
      </w:r>
      <w:r w:rsidRPr="00EF477F">
        <w:rPr>
          <w:bCs/>
          <w:color w:val="000000"/>
        </w:rPr>
        <w:t>bada się poziom i dynamikę wg:</w:t>
      </w:r>
    </w:p>
    <w:p w14:paraId="395843C2" w14:textId="77777777" w:rsidR="00354A0D" w:rsidRPr="00EF477F" w:rsidRDefault="00354A0D" w:rsidP="00354A0D">
      <w:pPr>
        <w:numPr>
          <w:ilvl w:val="0"/>
          <w:numId w:val="10"/>
        </w:numPr>
        <w:spacing w:after="0" w:line="240" w:lineRule="auto"/>
        <w:jc w:val="both"/>
        <w:rPr>
          <w:color w:val="000000"/>
        </w:rPr>
      </w:pPr>
      <w:r w:rsidRPr="00EF477F">
        <w:rPr>
          <w:color w:val="000000"/>
        </w:rPr>
        <w:t>działów gospodarki,</w:t>
      </w:r>
    </w:p>
    <w:p w14:paraId="0A2C2A5E" w14:textId="77777777" w:rsidR="00354A0D" w:rsidRPr="00EF477F" w:rsidRDefault="00354A0D" w:rsidP="00354A0D">
      <w:pPr>
        <w:numPr>
          <w:ilvl w:val="0"/>
          <w:numId w:val="10"/>
        </w:numPr>
        <w:spacing w:after="0" w:line="240" w:lineRule="auto"/>
        <w:jc w:val="both"/>
        <w:rPr>
          <w:color w:val="000000"/>
        </w:rPr>
      </w:pPr>
      <w:r w:rsidRPr="00EF477F">
        <w:rPr>
          <w:color w:val="000000"/>
        </w:rPr>
        <w:t>form technicznych (wyposażeniowe i w obudowę),</w:t>
      </w:r>
    </w:p>
    <w:p w14:paraId="5B621729" w14:textId="77777777" w:rsidR="00354A0D" w:rsidRPr="00EF477F" w:rsidRDefault="00354A0D" w:rsidP="00354A0D">
      <w:pPr>
        <w:numPr>
          <w:ilvl w:val="0"/>
          <w:numId w:val="10"/>
        </w:numPr>
        <w:spacing w:after="0" w:line="240" w:lineRule="auto"/>
        <w:jc w:val="both"/>
        <w:rPr>
          <w:color w:val="000000"/>
        </w:rPr>
      </w:pPr>
      <w:r w:rsidRPr="00EF477F">
        <w:rPr>
          <w:color w:val="000000"/>
        </w:rPr>
        <w:t>form własności (prywatne i publiczne),</w:t>
      </w:r>
    </w:p>
    <w:p w14:paraId="5D1F76E1" w14:textId="77777777" w:rsidR="00354A0D" w:rsidRPr="00EF477F" w:rsidRDefault="00354A0D" w:rsidP="00354A0D">
      <w:pPr>
        <w:numPr>
          <w:ilvl w:val="0"/>
          <w:numId w:val="10"/>
        </w:numPr>
        <w:spacing w:after="0" w:line="240" w:lineRule="auto"/>
        <w:jc w:val="both"/>
        <w:rPr>
          <w:bCs/>
          <w:color w:val="000000"/>
        </w:rPr>
      </w:pPr>
      <w:r w:rsidRPr="00EF477F">
        <w:rPr>
          <w:color w:val="000000"/>
        </w:rPr>
        <w:t>źródeł finansowania (ze środków własnych i źródeł zewnętrznych),</w:t>
      </w:r>
    </w:p>
    <w:p w14:paraId="1B2080AA" w14:textId="77777777" w:rsidR="00354A0D" w:rsidRPr="00EF477F" w:rsidRDefault="00354A0D" w:rsidP="00354A0D">
      <w:pPr>
        <w:numPr>
          <w:ilvl w:val="0"/>
          <w:numId w:val="10"/>
        </w:numPr>
        <w:spacing w:after="0" w:line="240" w:lineRule="auto"/>
        <w:jc w:val="both"/>
        <w:rPr>
          <w:bCs/>
          <w:color w:val="000000"/>
        </w:rPr>
      </w:pPr>
      <w:r w:rsidRPr="00EF477F">
        <w:rPr>
          <w:color w:val="000000"/>
        </w:rPr>
        <w:t>krajowe i zagraniczne.</w:t>
      </w:r>
    </w:p>
    <w:p w14:paraId="48F4B4F3" w14:textId="77777777" w:rsidR="00354A0D" w:rsidRPr="00EF477F" w:rsidRDefault="00354A0D" w:rsidP="00354A0D">
      <w:pPr>
        <w:spacing w:after="0" w:line="240" w:lineRule="auto"/>
        <w:ind w:left="1440"/>
        <w:jc w:val="both"/>
        <w:rPr>
          <w:bCs/>
          <w:color w:val="000000"/>
        </w:rPr>
      </w:pPr>
    </w:p>
    <w:p w14:paraId="6ECEBB25" w14:textId="77777777" w:rsidR="00354A0D" w:rsidRPr="00EF477F" w:rsidRDefault="00354A0D" w:rsidP="00354A0D">
      <w:pPr>
        <w:numPr>
          <w:ilvl w:val="0"/>
          <w:numId w:val="13"/>
        </w:numPr>
        <w:spacing w:after="0" w:line="240" w:lineRule="auto"/>
        <w:jc w:val="both"/>
        <w:rPr>
          <w:bCs/>
          <w:color w:val="000000"/>
        </w:rPr>
      </w:pPr>
      <w:r w:rsidRPr="00EF477F">
        <w:rPr>
          <w:b/>
          <w:color w:val="000000"/>
        </w:rPr>
        <w:t xml:space="preserve">Wydatki sektora publicznego </w:t>
      </w:r>
      <w:r w:rsidRPr="00EF477F">
        <w:rPr>
          <w:bCs/>
          <w:color w:val="000000"/>
        </w:rPr>
        <w:t>(istotna jest zarówno strona przychodów jak i wydatków państwa).</w:t>
      </w:r>
    </w:p>
    <w:p w14:paraId="0BEE77BA" w14:textId="77777777" w:rsidR="00354A0D" w:rsidRPr="00EF477F" w:rsidRDefault="00354A0D" w:rsidP="00354A0D">
      <w:pPr>
        <w:spacing w:after="0" w:line="240" w:lineRule="auto"/>
        <w:ind w:left="708"/>
        <w:jc w:val="both"/>
        <w:rPr>
          <w:bCs/>
        </w:rPr>
      </w:pPr>
      <w:r w:rsidRPr="00EF477F">
        <w:rPr>
          <w:bCs/>
        </w:rPr>
        <w:t xml:space="preserve">W analizie </w:t>
      </w:r>
      <w:r w:rsidRPr="00EF477F">
        <w:rPr>
          <w:b/>
        </w:rPr>
        <w:t>budżetu</w:t>
      </w:r>
      <w:r w:rsidRPr="00EF477F">
        <w:rPr>
          <w:bCs/>
        </w:rPr>
        <w:t xml:space="preserve"> ważne są:</w:t>
      </w:r>
    </w:p>
    <w:p w14:paraId="5673C2A8" w14:textId="77777777" w:rsidR="00354A0D" w:rsidRPr="00EF477F" w:rsidRDefault="00354A0D" w:rsidP="00354A0D">
      <w:pPr>
        <w:numPr>
          <w:ilvl w:val="0"/>
          <w:numId w:val="11"/>
        </w:numPr>
        <w:spacing w:after="0" w:line="240" w:lineRule="auto"/>
        <w:ind w:left="1428"/>
        <w:jc w:val="both"/>
        <w:rPr>
          <w:bCs/>
        </w:rPr>
      </w:pPr>
      <w:r w:rsidRPr="00EF477F">
        <w:rPr>
          <w:bCs/>
        </w:rPr>
        <w:t>stosunek deficytu (nadwyżki) do PKB (2,5-3% PKB, bezpieczne).</w:t>
      </w:r>
    </w:p>
    <w:p w14:paraId="31FF87B1" w14:textId="77777777" w:rsidR="00354A0D" w:rsidRPr="00EF477F" w:rsidRDefault="00354A0D" w:rsidP="00354A0D">
      <w:pPr>
        <w:numPr>
          <w:ilvl w:val="0"/>
          <w:numId w:val="11"/>
        </w:numPr>
        <w:spacing w:after="0" w:line="240" w:lineRule="auto"/>
        <w:ind w:left="1428"/>
        <w:jc w:val="both"/>
        <w:rPr>
          <w:bCs/>
        </w:rPr>
      </w:pPr>
      <w:r w:rsidRPr="00EF477F">
        <w:rPr>
          <w:bCs/>
        </w:rPr>
        <w:t>określenie charakteru deficytu (nadwyżki) - należy określić jaka jest relacja między dochodami  i wydatkami przy przeciętnym (normalnym) poziomie aktywności gospodarczej i na ile do powstania deficytu (nadwyżki) przyczyniają się odchylenia bieżącego stanu gospodarki od długookresowej ścieżki wzrostu.</w:t>
      </w:r>
    </w:p>
    <w:p w14:paraId="330550EB" w14:textId="77777777" w:rsidR="00354A0D" w:rsidRPr="00EF477F" w:rsidRDefault="00354A0D" w:rsidP="00354A0D">
      <w:pPr>
        <w:numPr>
          <w:ilvl w:val="0"/>
          <w:numId w:val="11"/>
        </w:numPr>
        <w:spacing w:after="0" w:line="240" w:lineRule="auto"/>
        <w:ind w:left="1428"/>
        <w:jc w:val="both"/>
        <w:rPr>
          <w:bCs/>
        </w:rPr>
      </w:pPr>
      <w:r w:rsidRPr="00EF477F">
        <w:rPr>
          <w:bCs/>
        </w:rPr>
        <w:t>cechą budżetu jest to, że dochody, bardziej niż wydatki zależą od bieżącej sytuacji gospodarczej (dochody są funkcją produkcji, co pociąga za sobą groźbę narastania deficytu w okresie spadku koniunktury).</w:t>
      </w:r>
    </w:p>
    <w:p w14:paraId="6DFE0303" w14:textId="77777777" w:rsidR="00354A0D" w:rsidRPr="00EF477F" w:rsidRDefault="00354A0D" w:rsidP="00354A0D">
      <w:pPr>
        <w:spacing w:after="0" w:line="240" w:lineRule="auto"/>
        <w:jc w:val="both"/>
        <w:rPr>
          <w:bCs/>
        </w:rPr>
      </w:pPr>
    </w:p>
    <w:p w14:paraId="44C67A68" w14:textId="77777777" w:rsidR="00354A0D" w:rsidRPr="00EF477F" w:rsidRDefault="00354A0D" w:rsidP="00354A0D">
      <w:pPr>
        <w:numPr>
          <w:ilvl w:val="0"/>
          <w:numId w:val="13"/>
        </w:numPr>
        <w:spacing w:after="0" w:line="240" w:lineRule="auto"/>
        <w:jc w:val="both"/>
        <w:rPr>
          <w:bCs/>
        </w:rPr>
      </w:pPr>
      <w:r w:rsidRPr="00EF477F">
        <w:rPr>
          <w:b/>
          <w:bCs/>
        </w:rPr>
        <w:t>Handel zagraniczny</w:t>
      </w:r>
      <w:r w:rsidRPr="00EF477F">
        <w:rPr>
          <w:bCs/>
        </w:rPr>
        <w:t xml:space="preserve"> </w:t>
      </w:r>
      <w:r w:rsidRPr="00EF477F">
        <w:rPr>
          <w:bCs/>
          <w:color w:val="000000"/>
        </w:rPr>
        <w:t xml:space="preserve">(uwzględniać należy jako czynnik bilansujący, ponieważ współcześnie gospodarki są otwarte) </w:t>
      </w:r>
      <w:r w:rsidRPr="00EF477F">
        <w:rPr>
          <w:b/>
        </w:rPr>
        <w:t xml:space="preserve">- </w:t>
      </w:r>
      <w:r w:rsidRPr="00EF477F">
        <w:t>wartość obrotów, struktura geograficzna i towarowa z uwzględnieniem partnerów handlowych, podstawowych towarów i cen.</w:t>
      </w:r>
    </w:p>
    <w:p w14:paraId="0D52CC6A" w14:textId="77777777" w:rsidR="00354A0D" w:rsidRPr="00EF477F" w:rsidRDefault="00354A0D" w:rsidP="00354A0D">
      <w:pPr>
        <w:spacing w:after="0" w:line="240" w:lineRule="auto"/>
        <w:jc w:val="both"/>
        <w:rPr>
          <w:b/>
          <w:color w:val="000000"/>
        </w:rPr>
      </w:pPr>
    </w:p>
    <w:p w14:paraId="3C78AFD0" w14:textId="77777777" w:rsidR="00354A0D" w:rsidRPr="00EF477F" w:rsidRDefault="00354A0D" w:rsidP="00354A0D">
      <w:pPr>
        <w:spacing w:after="0" w:line="240" w:lineRule="auto"/>
        <w:jc w:val="both"/>
        <w:rPr>
          <w:bCs/>
          <w:color w:val="000000"/>
        </w:rPr>
      </w:pPr>
      <w:r w:rsidRPr="00EF477F">
        <w:rPr>
          <w:b/>
          <w:color w:val="000000"/>
        </w:rPr>
        <w:t xml:space="preserve">Szczególna rolę w makroekonomicznym bilansie popytu i podaży odgrywają zapasy </w:t>
      </w:r>
      <w:r w:rsidRPr="00EF477F">
        <w:rPr>
          <w:bCs/>
          <w:color w:val="000000"/>
        </w:rPr>
        <w:t>(ich przyrosty).</w:t>
      </w:r>
    </w:p>
    <w:p w14:paraId="7CFD85F7" w14:textId="77777777" w:rsidR="00354A0D" w:rsidRPr="00EF477F" w:rsidRDefault="00354A0D" w:rsidP="00354A0D">
      <w:pPr>
        <w:spacing w:after="0" w:line="240" w:lineRule="auto"/>
        <w:ind w:left="360"/>
        <w:jc w:val="both"/>
        <w:rPr>
          <w:b/>
          <w:color w:val="000000"/>
          <w:u w:val="single"/>
        </w:rPr>
      </w:pPr>
    </w:p>
    <w:p w14:paraId="250958E8" w14:textId="77777777" w:rsidR="00354A0D" w:rsidRPr="00EF477F" w:rsidRDefault="00354A0D" w:rsidP="00354A0D">
      <w:pPr>
        <w:spacing w:after="0" w:line="240" w:lineRule="auto"/>
        <w:jc w:val="both"/>
        <w:rPr>
          <w:bCs/>
          <w:color w:val="000000"/>
        </w:rPr>
      </w:pPr>
      <w:r w:rsidRPr="00EF477F">
        <w:rPr>
          <w:b/>
          <w:color w:val="000000"/>
          <w:u w:val="single"/>
        </w:rPr>
        <w:t>Spadek zapasów</w:t>
      </w:r>
      <w:r w:rsidRPr="00EF477F">
        <w:rPr>
          <w:b/>
          <w:color w:val="000000"/>
        </w:rPr>
        <w:t xml:space="preserve"> </w:t>
      </w:r>
      <w:r w:rsidRPr="00EF477F">
        <w:rPr>
          <w:bCs/>
          <w:color w:val="000000"/>
        </w:rPr>
        <w:t xml:space="preserve">oznacza, że popyt zaspokajany jest nie tylko bieżącą produkcją, lecz także z nagromadzonych rezerw. Ma to miejsce w </w:t>
      </w:r>
      <w:r w:rsidRPr="00EF477F">
        <w:rPr>
          <w:bCs/>
          <w:color w:val="000000"/>
          <w:u w:val="single"/>
        </w:rPr>
        <w:t>pierwszej fazie ożywienia</w:t>
      </w:r>
      <w:r w:rsidRPr="00EF477F">
        <w:rPr>
          <w:bCs/>
          <w:color w:val="000000"/>
        </w:rPr>
        <w:t xml:space="preserve">, kiedy producenci nie zwiększają produkcji lecz upłynniają zapasy, które wracają do stanu normalnego. Także </w:t>
      </w:r>
      <w:r w:rsidRPr="00EF477F">
        <w:rPr>
          <w:bCs/>
          <w:color w:val="000000"/>
          <w:u w:val="single"/>
        </w:rPr>
        <w:t>pod koniec fazy wzrostowej</w:t>
      </w:r>
      <w:r w:rsidRPr="00EF477F">
        <w:rPr>
          <w:bCs/>
          <w:color w:val="000000"/>
        </w:rPr>
        <w:t>, kiedy ujawniają się podażowe bariery wzrostu produkcji.</w:t>
      </w:r>
    </w:p>
    <w:p w14:paraId="72A47FA4" w14:textId="77777777" w:rsidR="00354A0D" w:rsidRPr="00EF477F" w:rsidRDefault="00354A0D" w:rsidP="00354A0D">
      <w:pPr>
        <w:spacing w:after="0" w:line="240" w:lineRule="auto"/>
        <w:ind w:left="360"/>
        <w:jc w:val="both"/>
        <w:rPr>
          <w:b/>
          <w:color w:val="000000"/>
          <w:u w:val="single"/>
        </w:rPr>
      </w:pPr>
    </w:p>
    <w:p w14:paraId="2BC19BBC" w14:textId="77777777" w:rsidR="00354A0D" w:rsidRPr="00EF477F" w:rsidRDefault="00354A0D" w:rsidP="00354A0D">
      <w:pPr>
        <w:spacing w:after="0" w:line="240" w:lineRule="auto"/>
        <w:jc w:val="both"/>
        <w:rPr>
          <w:bCs/>
          <w:color w:val="000000"/>
        </w:rPr>
      </w:pPr>
      <w:r w:rsidRPr="00EF477F">
        <w:rPr>
          <w:b/>
          <w:color w:val="000000"/>
          <w:u w:val="single"/>
        </w:rPr>
        <w:t>Zapasy rosną</w:t>
      </w:r>
      <w:r w:rsidRPr="00EF477F">
        <w:rPr>
          <w:bCs/>
          <w:color w:val="000000"/>
        </w:rPr>
        <w:t>, gdy bieżący popyt jest mniejszy od produkcji oraz pod koniec fazy ożywienia, jako wynik rosnących trudności ich realizacji.</w:t>
      </w:r>
    </w:p>
    <w:p w14:paraId="3D80372A" w14:textId="77777777" w:rsidR="00354A0D" w:rsidRPr="00EF477F" w:rsidRDefault="00354A0D" w:rsidP="00354A0D">
      <w:pPr>
        <w:spacing w:after="0" w:line="240" w:lineRule="auto"/>
        <w:ind w:left="360"/>
        <w:jc w:val="both"/>
        <w:rPr>
          <w:b/>
          <w:color w:val="000000"/>
        </w:rPr>
      </w:pPr>
    </w:p>
    <w:p w14:paraId="7AD1251D" w14:textId="77777777" w:rsidR="00354A0D" w:rsidRPr="00EF477F" w:rsidRDefault="00354A0D" w:rsidP="00354A0D">
      <w:pPr>
        <w:spacing w:after="0" w:line="240" w:lineRule="auto"/>
        <w:jc w:val="both"/>
        <w:rPr>
          <w:b/>
          <w:color w:val="000000"/>
        </w:rPr>
      </w:pPr>
      <w:r w:rsidRPr="00EF477F">
        <w:rPr>
          <w:b/>
          <w:color w:val="000000"/>
        </w:rPr>
        <w:t>Podział zapasów:</w:t>
      </w:r>
    </w:p>
    <w:p w14:paraId="4489C817" w14:textId="77777777" w:rsidR="00354A0D" w:rsidRPr="00EF477F" w:rsidRDefault="00354A0D" w:rsidP="00354A0D">
      <w:pPr>
        <w:numPr>
          <w:ilvl w:val="0"/>
          <w:numId w:val="9"/>
        </w:numPr>
        <w:spacing w:after="0" w:line="240" w:lineRule="auto"/>
        <w:jc w:val="both"/>
        <w:rPr>
          <w:bCs/>
          <w:color w:val="000000"/>
        </w:rPr>
      </w:pPr>
      <w:r w:rsidRPr="00EF477F">
        <w:rPr>
          <w:bCs/>
          <w:color w:val="000000"/>
        </w:rPr>
        <w:t>zapasy u producenta i zapasy i handlu;</w:t>
      </w:r>
    </w:p>
    <w:p w14:paraId="74CDEC40" w14:textId="77777777" w:rsidR="00354A0D" w:rsidRPr="00EF477F" w:rsidRDefault="00354A0D" w:rsidP="00354A0D">
      <w:pPr>
        <w:numPr>
          <w:ilvl w:val="0"/>
          <w:numId w:val="9"/>
        </w:numPr>
        <w:spacing w:after="0" w:line="240" w:lineRule="auto"/>
        <w:jc w:val="both"/>
        <w:rPr>
          <w:color w:val="000000"/>
        </w:rPr>
      </w:pPr>
      <w:r w:rsidRPr="00EF477F">
        <w:rPr>
          <w:bCs/>
          <w:color w:val="000000"/>
        </w:rPr>
        <w:t>surowce i materiały, produkcja</w:t>
      </w:r>
      <w:r w:rsidRPr="00EF477F">
        <w:rPr>
          <w:color w:val="000000"/>
        </w:rPr>
        <w:t xml:space="preserve"> w toku, wyroby gotowe;</w:t>
      </w:r>
    </w:p>
    <w:p w14:paraId="1AED418C" w14:textId="77777777" w:rsidR="00354A0D" w:rsidRPr="00EF477F" w:rsidRDefault="00354A0D" w:rsidP="00354A0D">
      <w:pPr>
        <w:numPr>
          <w:ilvl w:val="0"/>
          <w:numId w:val="9"/>
        </w:numPr>
        <w:spacing w:after="0" w:line="240" w:lineRule="auto"/>
        <w:jc w:val="both"/>
        <w:rPr>
          <w:color w:val="000000"/>
        </w:rPr>
      </w:pPr>
      <w:r w:rsidRPr="00EF477F">
        <w:t>zapasy technologiczne (normalne), zapasy nadwyżkowe (dobrowolne i przymusowe).</w:t>
      </w:r>
    </w:p>
    <w:p w14:paraId="1AF859B9" w14:textId="77777777" w:rsidR="00354A0D" w:rsidRPr="00EF477F" w:rsidRDefault="00354A0D" w:rsidP="00354A0D">
      <w:pPr>
        <w:spacing w:after="0" w:line="240" w:lineRule="auto"/>
      </w:pPr>
    </w:p>
    <w:p w14:paraId="4496DB15" w14:textId="77777777" w:rsidR="00354A0D" w:rsidRPr="00EF477F" w:rsidRDefault="00354A0D" w:rsidP="00354A0D">
      <w:pPr>
        <w:spacing w:after="0" w:line="240" w:lineRule="auto"/>
      </w:pPr>
      <w:r w:rsidRPr="00EF477F">
        <w:t xml:space="preserve">Istotnym etapem analizy jest </w:t>
      </w:r>
      <w:r w:rsidRPr="00EF477F">
        <w:rPr>
          <w:b/>
        </w:rPr>
        <w:t>ocena możliwości podażowych gospodarki od strony</w:t>
      </w:r>
      <w:r w:rsidRPr="00EF477F">
        <w:t>:</w:t>
      </w:r>
    </w:p>
    <w:p w14:paraId="6A5F9C67" w14:textId="77777777" w:rsidR="00354A0D" w:rsidRPr="00EF477F" w:rsidRDefault="00354A0D" w:rsidP="00354A0D">
      <w:pPr>
        <w:numPr>
          <w:ilvl w:val="0"/>
          <w:numId w:val="14"/>
        </w:numPr>
        <w:spacing w:after="0" w:line="240" w:lineRule="auto"/>
        <w:ind w:left="714" w:hanging="357"/>
        <w:rPr>
          <w:b/>
        </w:rPr>
      </w:pPr>
      <w:r w:rsidRPr="00EF477F">
        <w:rPr>
          <w:b/>
        </w:rPr>
        <w:t>Aparatu wytwórczego</w:t>
      </w:r>
    </w:p>
    <w:p w14:paraId="71000B35" w14:textId="77777777" w:rsidR="00354A0D" w:rsidRPr="00EF477F" w:rsidRDefault="00354A0D" w:rsidP="00354A0D">
      <w:pPr>
        <w:pStyle w:val="Tekstpodstawowy2"/>
        <w:spacing w:after="0" w:line="240" w:lineRule="auto"/>
        <w:ind w:left="708"/>
        <w:rPr>
          <w:bCs/>
        </w:rPr>
      </w:pPr>
      <w:r w:rsidRPr="00EF477F">
        <w:rPr>
          <w:bCs/>
        </w:rPr>
        <w:t>ubytki w wyniku zużycia fizycznego i moralnego, inwestycje netto (akumulacja)</w:t>
      </w:r>
    </w:p>
    <w:p w14:paraId="29BAF0C2" w14:textId="77777777" w:rsidR="00354A0D" w:rsidRPr="00EF477F" w:rsidRDefault="00354A0D" w:rsidP="00354A0D">
      <w:pPr>
        <w:numPr>
          <w:ilvl w:val="0"/>
          <w:numId w:val="14"/>
        </w:numPr>
        <w:spacing w:after="0" w:line="240" w:lineRule="auto"/>
        <w:jc w:val="both"/>
        <w:rPr>
          <w:b/>
          <w:bCs/>
        </w:rPr>
      </w:pPr>
      <w:r w:rsidRPr="00EF477F">
        <w:rPr>
          <w:b/>
          <w:bCs/>
        </w:rPr>
        <w:lastRenderedPageBreak/>
        <w:t>Rynku pracy</w:t>
      </w:r>
    </w:p>
    <w:p w14:paraId="03B309BD" w14:textId="77777777" w:rsidR="00354A0D" w:rsidRPr="00EF477F" w:rsidRDefault="00354A0D" w:rsidP="00354A0D">
      <w:pPr>
        <w:pStyle w:val="Tekstpodstawowy"/>
        <w:widowControl w:val="0"/>
        <w:numPr>
          <w:ilvl w:val="0"/>
          <w:numId w:val="12"/>
        </w:numPr>
        <w:suppressAutoHyphens/>
        <w:ind w:left="1066"/>
        <w:rPr>
          <w:rFonts w:asciiTheme="minorHAnsi" w:hAnsiTheme="minorHAnsi"/>
          <w:sz w:val="22"/>
          <w:szCs w:val="22"/>
        </w:rPr>
      </w:pPr>
      <w:r w:rsidRPr="00EF477F">
        <w:rPr>
          <w:rFonts w:asciiTheme="minorHAnsi" w:hAnsiTheme="minorHAnsi"/>
          <w:sz w:val="22"/>
          <w:szCs w:val="22"/>
        </w:rPr>
        <w:t>liczba ludności, gospodarstw domowych, ludności w wieku produkcyjnym, struktura ludności wg płci, wieku wykształcenia, struktury (działowej) zatrudnienia.</w:t>
      </w:r>
    </w:p>
    <w:p w14:paraId="0689412D" w14:textId="77777777" w:rsidR="00354A0D" w:rsidRPr="00EF477F" w:rsidRDefault="00354A0D" w:rsidP="00354A0D">
      <w:pPr>
        <w:pStyle w:val="Tekstpodstawowy"/>
        <w:widowControl w:val="0"/>
        <w:numPr>
          <w:ilvl w:val="0"/>
          <w:numId w:val="12"/>
        </w:numPr>
        <w:suppressAutoHyphens/>
        <w:ind w:left="1066"/>
        <w:rPr>
          <w:rFonts w:asciiTheme="minorHAnsi" w:hAnsiTheme="minorHAnsi"/>
          <w:sz w:val="22"/>
          <w:szCs w:val="22"/>
        </w:rPr>
      </w:pPr>
      <w:r w:rsidRPr="00EF477F">
        <w:rPr>
          <w:rFonts w:asciiTheme="minorHAnsi" w:hAnsiTheme="minorHAnsi"/>
          <w:sz w:val="22"/>
          <w:szCs w:val="22"/>
        </w:rPr>
        <w:t>poziom i dynamika zatrudnienia, wielkość i dynamika bezrobocia, stopa bezrobocia, przeciętny tygodniowy czas pracy.</w:t>
      </w:r>
    </w:p>
    <w:p w14:paraId="4FCAD524" w14:textId="77777777" w:rsidR="00CB5C5D" w:rsidRDefault="00CB5C5D"/>
    <w:sectPr w:rsidR="00CB5C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B268E"/>
    <w:multiLevelType w:val="hybridMultilevel"/>
    <w:tmpl w:val="DBACF48C"/>
    <w:lvl w:ilvl="0" w:tplc="041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38337A"/>
    <w:multiLevelType w:val="hybridMultilevel"/>
    <w:tmpl w:val="003C6F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E0C4C"/>
    <w:multiLevelType w:val="hybridMultilevel"/>
    <w:tmpl w:val="9B0827D2"/>
    <w:lvl w:ilvl="0" w:tplc="239432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563BF"/>
    <w:multiLevelType w:val="hybridMultilevel"/>
    <w:tmpl w:val="D304DE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00FE9"/>
    <w:multiLevelType w:val="hybridMultilevel"/>
    <w:tmpl w:val="32D6B5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033E86"/>
    <w:multiLevelType w:val="hybridMultilevel"/>
    <w:tmpl w:val="ADDE90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A80AF6"/>
    <w:multiLevelType w:val="hybridMultilevel"/>
    <w:tmpl w:val="360833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2F179C"/>
    <w:multiLevelType w:val="hybridMultilevel"/>
    <w:tmpl w:val="EAB016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C50881"/>
    <w:multiLevelType w:val="hybridMultilevel"/>
    <w:tmpl w:val="4D008390"/>
    <w:lvl w:ilvl="0" w:tplc="171E20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C202E6"/>
    <w:multiLevelType w:val="hybridMultilevel"/>
    <w:tmpl w:val="A880CC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07445D"/>
    <w:multiLevelType w:val="hybridMultilevel"/>
    <w:tmpl w:val="B9B631EE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A124A8B"/>
    <w:multiLevelType w:val="hybridMultilevel"/>
    <w:tmpl w:val="88E43E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29405F"/>
    <w:multiLevelType w:val="hybridMultilevel"/>
    <w:tmpl w:val="9538149A"/>
    <w:lvl w:ilvl="0" w:tplc="04150017">
      <w:start w:val="1"/>
      <w:numFmt w:val="lowerLetter"/>
      <w:lvlText w:val="%1)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DE47AA4"/>
    <w:multiLevelType w:val="hybridMultilevel"/>
    <w:tmpl w:val="73946D0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0"/>
  </w:num>
  <w:num w:numId="8">
    <w:abstractNumId w:val="10"/>
  </w:num>
  <w:num w:numId="9">
    <w:abstractNumId w:val="9"/>
  </w:num>
  <w:num w:numId="10">
    <w:abstractNumId w:val="13"/>
  </w:num>
  <w:num w:numId="11">
    <w:abstractNumId w:val="6"/>
  </w:num>
  <w:num w:numId="12">
    <w:abstractNumId w:val="12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A0D"/>
    <w:rsid w:val="00354A0D"/>
    <w:rsid w:val="00CB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1AE09"/>
  <w15:chartTrackingRefBased/>
  <w15:docId w15:val="{4730D0B0-E72E-4EF7-8149-0E3442BB6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54A0D"/>
    <w:pPr>
      <w:spacing w:after="200" w:line="276" w:lineRule="auto"/>
    </w:pPr>
  </w:style>
  <w:style w:type="paragraph" w:styleId="Nagwek2">
    <w:name w:val="heading 2"/>
    <w:basedOn w:val="Normalny"/>
    <w:next w:val="Tekstpodstawowy"/>
    <w:link w:val="Nagwek2Znak"/>
    <w:uiPriority w:val="9"/>
    <w:unhideWhenUsed/>
    <w:qFormat/>
    <w:rsid w:val="00354A0D"/>
    <w:pPr>
      <w:keepNext/>
      <w:keepLines/>
      <w:spacing w:before="240" w:after="60" w:line="240" w:lineRule="auto"/>
      <w:ind w:left="578" w:hanging="578"/>
      <w:outlineLvl w:val="1"/>
    </w:pPr>
    <w:rPr>
      <w:rFonts w:ascii="Tahoma" w:eastAsia="Times New Roman" w:hAnsi="Tahoma" w:cs="Times New Roman"/>
      <w:b/>
      <w:bCs/>
      <w:color w:val="000000"/>
      <w:sz w:val="30"/>
      <w:szCs w:val="2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54A0D"/>
    <w:p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354A0D"/>
    <w:rPr>
      <w:rFonts w:ascii="Tahoma" w:eastAsia="Times New Roman" w:hAnsi="Tahoma" w:cs="Times New Roman"/>
      <w:b/>
      <w:bCs/>
      <w:color w:val="000000"/>
      <w:sz w:val="30"/>
      <w:szCs w:val="2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54A0D"/>
    <w:rPr>
      <w:rFonts w:ascii="Calibri" w:eastAsia="Times New Roman" w:hAnsi="Calibri" w:cs="Times New Roman"/>
      <w:sz w:val="24"/>
      <w:szCs w:val="24"/>
    </w:rPr>
  </w:style>
  <w:style w:type="paragraph" w:styleId="Akapitzlist">
    <w:name w:val="List Paragraph"/>
    <w:basedOn w:val="Normalny"/>
    <w:uiPriority w:val="34"/>
    <w:qFormat/>
    <w:rsid w:val="00354A0D"/>
    <w:pPr>
      <w:ind w:left="720"/>
      <w:contextualSpacing/>
    </w:pPr>
  </w:style>
  <w:style w:type="paragraph" w:styleId="Tekstpodstawowy">
    <w:name w:val="Body Text"/>
    <w:basedOn w:val="Normalny"/>
    <w:link w:val="TekstpodstawowyZnak"/>
    <w:semiHidden/>
    <w:rsid w:val="00354A0D"/>
    <w:pPr>
      <w:spacing w:after="0" w:line="240" w:lineRule="auto"/>
      <w:jc w:val="both"/>
    </w:pPr>
    <w:rPr>
      <w:rFonts w:ascii="Tahoma" w:eastAsia="Times New Roman" w:hAnsi="Tahoma" w:cs="Times New Roman"/>
      <w:sz w:val="20"/>
      <w:szCs w:val="24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354A0D"/>
    <w:rPr>
      <w:rFonts w:ascii="Tahoma" w:eastAsia="Times New Roman" w:hAnsi="Tahoma" w:cs="Times New Roman"/>
      <w:sz w:val="20"/>
      <w:szCs w:val="24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354A0D"/>
    <w:pPr>
      <w:spacing w:after="120"/>
      <w:ind w:left="283"/>
    </w:pPr>
    <w:rPr>
      <w:rFonts w:ascii="Calibri" w:eastAsia="Calibri" w:hAnsi="Calibri" w:cs="Times New Roman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354A0D"/>
    <w:rPr>
      <w:rFonts w:ascii="Calibri" w:eastAsia="Calibri" w:hAnsi="Calibri" w:cs="Times New Roman"/>
    </w:rPr>
  </w:style>
  <w:style w:type="paragraph" w:styleId="Tekstpodstawowy2">
    <w:name w:val="Body Text 2"/>
    <w:basedOn w:val="Normalny"/>
    <w:link w:val="Tekstpodstawowy2Znak"/>
    <w:uiPriority w:val="99"/>
    <w:semiHidden/>
    <w:unhideWhenUsed/>
    <w:rsid w:val="00354A0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semiHidden/>
    <w:rsid w:val="00354A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F0164D6B04C2C43B8790D5E6A85640A" ma:contentTypeVersion="11" ma:contentTypeDescription="Utwórz nowy dokument." ma:contentTypeScope="" ma:versionID="c01fb77d423e2d5c41723824e8ff29a1">
  <xsd:schema xmlns:xsd="http://www.w3.org/2001/XMLSchema" xmlns:xs="http://www.w3.org/2001/XMLSchema" xmlns:p="http://schemas.microsoft.com/office/2006/metadata/properties" xmlns:ns2="123bc58c-b9f0-4167-8423-0fec7f655d6f" xmlns:ns3="48fc5663-db2e-445f-9c9c-459f2756631a" targetNamespace="http://schemas.microsoft.com/office/2006/metadata/properties" ma:root="true" ma:fieldsID="7dde941931dd1e2a591206956303896c" ns2:_="" ns3:_="">
    <xsd:import namespace="123bc58c-b9f0-4167-8423-0fec7f655d6f"/>
    <xsd:import namespace="48fc5663-db2e-445f-9c9c-459f275663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bc58c-b9f0-4167-8423-0fec7f655d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Tagi obrazów" ma:readOnly="false" ma:fieldId="{5cf76f15-5ced-4ddc-b409-7134ff3c332f}" ma:taxonomyMulti="true" ma:sspId="55f58b37-a4ca-4b9d-8340-d45abefa18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fc5663-db2e-445f-9c9c-459f2756631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7e5320f-4db0-4282-80b6-b9bef3a51f5c}" ma:internalName="TaxCatchAll" ma:showField="CatchAllData" ma:web="48fc5663-db2e-445f-9c9c-459f275663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8fc5663-db2e-445f-9c9c-459f2756631a" xsi:nil="true"/>
    <lcf76f155ced4ddcb4097134ff3c332f xmlns="123bc58c-b9f0-4167-8423-0fec7f655d6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7604579-DD82-4EA9-BB09-41A8C50AEA7B}"/>
</file>

<file path=customXml/itemProps2.xml><?xml version="1.0" encoding="utf-8"?>
<ds:datastoreItem xmlns:ds="http://schemas.openxmlformats.org/officeDocument/2006/customXml" ds:itemID="{89453A3C-2B7B-40CB-9ADC-7A39935C7270}"/>
</file>

<file path=customXml/itemProps3.xml><?xml version="1.0" encoding="utf-8"?>
<ds:datastoreItem xmlns:ds="http://schemas.openxmlformats.org/officeDocument/2006/customXml" ds:itemID="{8437A611-01E1-4F73-B91C-8C7F734B331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1154</Words>
  <Characters>6930</Characters>
  <Application>Microsoft Office Word</Application>
  <DocSecurity>0</DocSecurity>
  <Lines>57</Lines>
  <Paragraphs>16</Paragraphs>
  <ScaleCrop>false</ScaleCrop>
  <Company/>
  <LinksUpToDate>false</LinksUpToDate>
  <CharactersWithSpaces>8068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Ciapek 0</dc:creator>
  <cp:keywords/>
  <dc:description/>
  <cp:lastModifiedBy>Ciapek 0</cp:lastModifiedBy>
  <cp:revision>1</cp:revision>
  <dcterms:created xsi:type="dcterms:W3CDTF">2020-05-13T13:05:00Z</dcterms:created>
  <dcterms:modified xsi:type="dcterms:W3CDTF">2020-05-13T13:06:00Z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0x010100AF0164D6B04C2C43B8790D5E6A85640A</vt:lpwstr>
  </property>
</Properties>
</file>