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10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8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8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8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8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8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8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8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0"/>
        <w:ind w:left="283" w:hanging="159"/>
      </w:pPr>
      <w:r>
        <w:rPr>
          <w:sz w:val="18"/>
        </w:rPr>
        <w:t>— Совмещала управление с технической работой: SQL, Python, три дашборда в Grafana (35 панелей), Rust с нуля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8"/>
        </w:rPr>
        <w:t xml:space="preserve">08.2023 — 04.2025 | </w:t>
      </w:r>
      <w:r>
        <w:rPr>
          <w:b/>
          <w:sz w:val="18"/>
        </w:rPr>
        <w:t>Картограф-редактор</w:t>
      </w:r>
      <w:r>
        <w:rPr>
          <w:b/>
          <w:sz w:val="18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8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80"/>
      </w:pPr>
      <w:r>
        <w:rPr>
          <w:b w:val="0"/>
          <w:sz w:val="18"/>
        </w:rPr>
        <w:t xml:space="preserve">09.2022 — 06.2023 | </w:t>
      </w:r>
      <w:r>
        <w:rPr>
          <w:b/>
          <w:sz w:val="18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8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Операционное сопровождение школы, продакшен онлайн-курса, техническое ведение групп.</w:t>
      </w:r>
    </w:p>
    <w:p>
      <w:pPr>
        <w:spacing w:after="0"/>
        <w:ind w:left="283" w:hanging="159"/>
      </w:pPr>
      <w:r>
        <w:rPr>
          <w:sz w:val="18"/>
        </w:rPr>
        <w:t>— Курс доведён с «бумаги» до готового к запуску за 3–4 месяца; школа выросла с одного предмета до трёх</w:t>
      </w:r>
    </w:p>
    <w:p>
      <w:pPr>
        <w:spacing w:after="20" w:before="10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8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0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0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Управление поставкой: </w:t>
      </w:r>
      <w:r>
        <w:rPr>
          <w:b w:val="0"/>
          <w:sz w:val="18"/>
        </w:rPr>
        <w:t>Sprint Planning, Daily Stand-up, разбор итогов, декомпозиция и приоритизация, контроль сроков</w:t>
      </w:r>
    </w:p>
    <w:p>
      <w:pPr>
        <w:spacing w:after="0" w:before="0"/>
      </w:pPr>
      <w:r>
        <w:rPr>
          <w:b/>
          <w:sz w:val="18"/>
        </w:rPr>
        <w:t xml:space="preserve">Метрики: </w:t>
      </w:r>
      <w:r>
        <w:rPr>
          <w:b w:val="0"/>
          <w:sz w:val="18"/>
        </w:rPr>
        <w:t>cycle time и время ревью, пропускная способность, воронка найма и конверсии по этапам</w:t>
      </w:r>
    </w:p>
    <w:p>
      <w:pPr>
        <w:spacing w:after="0" w:before="0"/>
      </w:pPr>
      <w:r>
        <w:rPr>
          <w:b/>
          <w:sz w:val="18"/>
        </w:rPr>
        <w:t xml:space="preserve">Стейкхолдеры: </w:t>
      </w:r>
      <w:r>
        <w:rPr>
          <w:b w:val="0"/>
          <w:sz w:val="18"/>
        </w:rPr>
        <w:t>статус-отчётность по срокам и рискам, перевод технических деталей на язык решения</w:t>
      </w:r>
    </w:p>
    <w:p>
      <w:pPr>
        <w:spacing w:after="0" w:before="0"/>
      </w:pPr>
      <w:r>
        <w:rPr>
          <w:b/>
          <w:sz w:val="18"/>
        </w:rPr>
        <w:t xml:space="preserve">Риски: </w:t>
      </w:r>
      <w:r>
        <w:rPr>
          <w:b w:val="0"/>
          <w:sz w:val="18"/>
        </w:rPr>
        <w:t>проверка гипотез экспериментом до вложения разработки, A/B-тесты</w:t>
      </w:r>
    </w:p>
    <w:p>
      <w:pPr>
        <w:spacing w:after="0" w:before="0"/>
      </w:pPr>
      <w:r>
        <w:rPr>
          <w:b/>
          <w:sz w:val="18"/>
        </w:rPr>
        <w:t xml:space="preserve">Команда: </w:t>
      </w:r>
      <w:r>
        <w:rPr>
          <w:b w:val="0"/>
          <w:sz w:val="18"/>
        </w:rPr>
        <w:t>найм на инженерные роли, структурированные интервью со скоринговыми картами, онбординг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Git и GitHub, Grafana, Google Workspace, Docker, Linux</w:t>
      </w:r>
    </w:p>
    <w:p>
      <w:pPr>
        <w:spacing w:after="0" w:before="0"/>
      </w:pPr>
      <w:r>
        <w:rPr>
          <w:b/>
          <w:sz w:val="18"/>
        </w:rPr>
        <w:t xml:space="preserve">Технический стек: </w:t>
      </w:r>
      <w:r>
        <w:rPr>
          <w:b w:val="0"/>
          <w:sz w:val="18"/>
        </w:rPr>
        <w:t>SQL — ClickHouse и PostgreSQL; Python — pandas, LightGBM, scikit-learn; Rust — базовый уровень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3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