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icoda-knoah-package-comparison"/>
    <w:p>
      <w:pPr>
        <w:pStyle w:val="Heading1"/>
      </w:pPr>
      <w:r>
        <w:t xml:space="preserve">ICODA × Knoah — Package Comparison</w:t>
      </w:r>
    </w:p>
    <w:bookmarkStart w:id="20" w:name="X31bb7dda2245a8e1236c211a07d1891574a7eac"/>
    <w:p>
      <w:pPr>
        <w:pStyle w:val="Heading3"/>
      </w:pPr>
      <w:r>
        <w:t xml:space="preserve">Global Launch Sprint · 60-Day Window · June–August 2026</w:t>
      </w:r>
    </w:p>
    <w:p>
      <w:r>
        <w:pict>
          <v:rect style="width:0;height:1.5pt" o:hralign="center" o:hrstd="t" o:hr="t"/>
        </w:pict>
      </w:r>
    </w:p>
    <w:bookmarkEnd w:id="20"/>
    <w:bookmarkStart w:id="21" w:name="investment-summary"/>
    <w:p>
      <w:pPr>
        <w:pStyle w:val="Heading2"/>
      </w:pPr>
      <w:r>
        <w:t xml:space="preserve">Investment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Russia + Turkey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 four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 four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ICODA service fee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$24K / month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$44K / month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$90K /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for 60 days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$48K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$88K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$180K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budget (client-managed, separate)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+$10K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+$26K /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fee per market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$11K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$22.5K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Why Pilot costs more per market than Growth:</w:t>
      </w:r>
      <w:r>
        <w:t xml:space="preserve"> </w:t>
      </w:r>
      <w:r>
        <w:t xml:space="preserve">fixed infrastructure (account management, community setup, briefing cycles) is identical for 2 or 4 markets — spread over fewer markets, the per-unit cost is higher. Standard agency economics for boutique vs. scale engagements.</w:t>
      </w:r>
    </w:p>
    <w:p>
      <w:r>
        <w:pict>
          <v:rect style="width:0;height:1.5pt" o:hralign="center" o:hrstd="t" o:hr="t"/>
        </w:pict>
      </w:r>
    </w:p>
    <w:bookmarkEnd w:id="21"/>
    <w:bookmarkStart w:id="28" w:name="deliverables"/>
    <w:p>
      <w:pPr>
        <w:pStyle w:val="Heading2"/>
      </w:pPr>
      <w:r>
        <w:t xml:space="preserve">Deliverables</w:t>
      </w:r>
    </w:p>
    <w:bookmarkStart w:id="22" w:name="kols"/>
    <w:p>
      <w:pPr>
        <w:pStyle w:val="Heading3"/>
      </w:pPr>
      <w:r>
        <w:t xml:space="preserve">KOLs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Mid-tier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Tier 2 + Tier 3 mix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Top-tier incl. Tier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Followers range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50K – 200K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50K – 500K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200K – 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KOLs per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6–10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KOLs (all markets)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24–40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audience reach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2M+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coordination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Synchronized blast</w:t>
            </w:r>
          </w:p>
        </w:tc>
      </w:tr>
    </w:tbl>
    <w:bookmarkEnd w:id="22"/>
    <w:bookmarkStart w:id="23" w:name="community"/>
    <w:p>
      <w:pPr>
        <w:pStyle w:val="Heading3"/>
      </w:pPr>
      <w:r>
        <w:t xml:space="preserve">Community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 + Facebook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Telegram + Facebook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Local-language management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Daily · 60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Daily · 60 days +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 mechanic seeding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Via KOL channels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Active seeding + optimization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Active seeding + optimization</w:t>
            </w:r>
          </w:p>
        </w:tc>
      </w:tr>
    </w:tbl>
    <w:bookmarkEnd w:id="23"/>
    <w:bookmarkStart w:id="24" w:name="pr"/>
    <w:p>
      <w:pPr>
        <w:pStyle w:val="Heading3"/>
      </w:pPr>
      <w:r>
        <w:t xml:space="preserve">PR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Placements per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crypto media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+ 1 international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Local + international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announcement blast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Coordinated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20+ outlets · launch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guaranteed placements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25+</w:t>
            </w:r>
          </w:p>
        </w:tc>
      </w:tr>
    </w:tbl>
    <w:bookmarkEnd w:id="24"/>
    <w:bookmarkStart w:id="25" w:name="paid-media"/>
    <w:p>
      <w:pPr>
        <w:pStyle w:val="Heading3"/>
      </w:pPr>
      <w:r>
        <w:t xml:space="preserve">Paid Media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spend (client-managed)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$2K–3K / market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$5K–8K / market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+ Google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Meta + Google +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Campaign setup &amp; optimization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intelligence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Real-time monitoring</w:t>
            </w:r>
          </w:p>
        </w:tc>
      </w:tr>
    </w:tbl>
    <w:bookmarkEnd w:id="25"/>
    <w:bookmarkStart w:id="26" w:name="creative"/>
    <w:p>
      <w:pPr>
        <w:pStyle w:val="Heading3"/>
      </w:pPr>
      <w:r>
        <w:t xml:space="preserve">Creative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production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 (adapted per language)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Per-market localization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Per-market · premium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prop customization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Language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per-market hooks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per-market · no shared assets</w:t>
            </w:r>
          </w:p>
        </w:tc>
      </w:tr>
    </w:tbl>
    <w:bookmarkEnd w:id="26"/>
    <w:bookmarkStart w:id="27" w:name="reporting-management"/>
    <w:p>
      <w:pPr>
        <w:pStyle w:val="Heading3"/>
      </w:pPr>
      <w:r>
        <w:t xml:space="preserve">Reporting &amp;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200"/>
        <w:gridCol w:w="2200"/>
        <w:gridCol w:w="220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cadence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Bi-weekly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Weekly strategy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Dedicated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Attribution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Standard + channel split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Full attribution stack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expected-results-60-days"/>
    <w:p>
      <w:pPr>
        <w:pStyle w:val="Heading2"/>
      </w:pPr>
      <w:r>
        <w:t xml:space="preserve">Expected Results · 60 Days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registered users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1K – 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8K – 20K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30K – 60K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Community members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2K – 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25K+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placements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KOL impressions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500K+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2M+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Est. cost per user (service fee)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$16–48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$4.4–11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$3–6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when-to-choose-each-package"/>
    <w:p>
      <w:pPr>
        <w:pStyle w:val="Heading2"/>
      </w:pPr>
      <w:r>
        <w:t xml:space="preserve">When to Choose Each Package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Risk-controlled market test before committing to 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4-market launch · recommended default for July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amplification ahead of investment announcement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Ideal 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approval still pending · needs proof-of-fit data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confirmed · July deadline is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Announcement-day impact is the primary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Misses Brazil + Vietnam in Wave 1; partial announcement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$10K/mo client-managed media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total investment; top-tier KOL availability must be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Upgradeable to Growth at Month 2 based on Wave 1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media-budget-how-it-works"/>
    <w:p>
      <w:pPr>
        <w:pStyle w:val="Heading2"/>
      </w:pPr>
      <w:r>
        <w:t xml:space="preserve">Media Budget: How It Works</w:t>
      </w:r>
    </w:p>
    <w:p>
      <w:pPr>
        <w:pStyle w:val="FirstParagraph"/>
      </w:pPr>
      <w:r>
        <w:t xml:space="preserve">The media budget line (Growth: $10K/mo · Full Scale: $26K/mo) is</w:t>
      </w:r>
      <w:r>
        <w:t xml:space="preserve"> </w:t>
      </w:r>
      <w:r>
        <w:rPr>
          <w:bCs/>
          <w:b/>
        </w:rPr>
        <w:t xml:space="preserve">client-owned spend</w:t>
      </w:r>
      <w:r>
        <w:t xml:space="preserve"> </w:t>
      </w:r>
      <w:r>
        <w:t xml:space="preserve">paid directly to Meta, Google, and X ad platforms. ICODA sets up, manages, and optimizes the campaigns — you see every dollar in your ad account.</w:t>
      </w:r>
    </w:p>
    <w:p>
      <w:pPr>
        <w:pStyle w:val="BodyText"/>
      </w:pPr>
      <w:r>
        <w:t xml:space="preserve">This is separated from the service fee intentionally: it keeps ICODA’s pricing transparent and gives you full visibility and control over your ad spend at all times.</w:t>
      </w:r>
    </w:p>
    <w:p>
      <w:r>
        <w:pict>
          <v:rect style="width:0;height:1.5pt" o:hralign="center" o:hrstd="t" o:hr="t"/>
        </w:pict>
      </w:r>
    </w:p>
    <w:bookmarkEnd w:id="31"/>
    <w:bookmarkStart w:id="32" w:name="payment-structure"/>
    <w:p>
      <w:pPr>
        <w:pStyle w:val="Heading2"/>
      </w:pPr>
      <w:r>
        <w:t xml:space="preserve">Payment Structure</w:t>
      </w:r>
    </w:p>
    <w:p>
      <w:pPr>
        <w:pStyle w:val="FirstParagraph"/>
      </w:pPr>
      <w:r>
        <w:t xml:space="preserve">All packages are billed monthly over the 60-day campaign window.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$88K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$180K</w:t>
            </w:r>
          </w:p>
        </w:tc>
      </w:tr>
    </w:tbl>
    <w:p>
      <w:pPr>
        <w:pStyle w:val="BodyText"/>
      </w:pPr>
      <w:r>
        <w:t xml:space="preserve">Month 1 covers campaign build + Wave 1 launch (Russia + Turkey).</w:t>
      </w:r>
      <w:r>
        <w:br/>
      </w:r>
      <w:r>
        <w:t xml:space="preserve">Month 2 covers Wave 2 activation (Brazil + Vietnam) + investment-announcement blast.</w:t>
      </w:r>
      <w:r>
        <w:br/>
      </w:r>
      <w:r>
        <w:t xml:space="preserve">There is no ongoing retainer — the engagement has a defined endpoint at Week 8.</w:t>
      </w:r>
    </w:p>
    <w:p>
      <w:r>
        <w:pict>
          <v:rect style="width:0;height:1.5pt" o:hralign="center" o:hrstd="t" o:hr="t"/>
        </w:pict>
      </w:r>
    </w:p>
    <w:bookmarkEnd w:id="32"/>
    <w:bookmarkStart w:id="33" w:name="timeline"/>
    <w:p>
      <w:pPr>
        <w:pStyle w:val="Heading2"/>
      </w:pPr>
      <w:r>
        <w:t xml:space="preserve">Timeline</w:t>
      </w:r>
    </w:p>
    <w:p>
      <w:pPr>
        <w:pStyle w:val="SourceCode"/>
      </w:pPr>
      <w:r>
        <w:rPr>
          <w:rStyle w:val="VerbatimChar"/>
        </w:rPr>
        <w:t xml:space="preserve">Week 1  ·  Contract signed · KOL outreach begins · communities set up (RU + TR)</w:t>
      </w:r>
      <w:r>
        <w:br/>
      </w:r>
      <w:r>
        <w:rPr>
          <w:rStyle w:val="VerbatimChar"/>
        </w:rPr>
        <w:t xml:space="preserve">Week 2  ·  KOL posts live · Telegram seeding · paid campaigns activated (Growth / Full Scale)</w:t>
      </w:r>
      <w:r>
        <w:br/>
      </w:r>
      <w:r>
        <w:rPr>
          <w:rStyle w:val="VerbatimChar"/>
        </w:rPr>
        <w:t xml:space="preserve">Week 3  ·  Wave 1 live (RU + TR) · first attribution data · Wave 2 prep begins</w:t>
      </w:r>
      <w:r>
        <w:br/>
      </w:r>
      <w:r>
        <w:rPr>
          <w:rStyle w:val="VerbatimChar"/>
        </w:rPr>
        <w:t xml:space="preserve">Week 4  ·  Creative re-tuned for BR + VN using Week 3 data</w:t>
      </w:r>
      <w:r>
        <w:br/>
      </w:r>
      <w:r>
        <w:rPr>
          <w:rStyle w:val="VerbatimChar"/>
        </w:rPr>
        <w:t xml:space="preserve">Week 5  ·  Wave 2 live (BR + VN) · all four markets active</w:t>
      </w:r>
      <w:r>
        <w:br/>
      </w:r>
      <w:r>
        <w:rPr>
          <w:rStyle w:val="VerbatimChar"/>
        </w:rPr>
        <w:t xml:space="preserve">Weeks 6–8  ·  Investment-announcement amplification blast (Growth: coordinated · Full Scale: 20+ outlets)</w:t>
      </w:r>
      <w:r>
        <w:br/>
      </w:r>
      <w:r>
        <w:rPr>
          <w:rStyle w:val="VerbatimChar"/>
        </w:rPr>
        <w:t xml:space="preserve">End of Month 2  ·  Full performance report + Month 3 optimization plan</w:t>
      </w:r>
    </w:p>
    <w:p>
      <w:pPr>
        <w:pStyle w:val="FirstParagraph"/>
      </w:pPr>
      <w:r>
        <w:rPr>
          <w:bCs/>
          <w:b/>
        </w:rPr>
        <w:t xml:space="preserve">Critical path: contract must be signed by June 1</w:t>
      </w:r>
      <w:r>
        <w:t xml:space="preserve"> </w:t>
      </w:r>
      <w:r>
        <w:t xml:space="preserve">to make the July announcement window.</w:t>
      </w:r>
      <w:r>
        <w:br/>
      </w:r>
      <w:r>
        <w:t xml:space="preserve">KOL briefing and community setup requires a full two weeks — there is no shortcut.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Questions or contract draft: Ruslan Pivnev · rp@icoda.io ·</w:t>
      </w:r>
      <w:r>
        <w:rPr>
          <w:iCs/>
          <w:i/>
        </w:rPr>
        <w:t xml:space="preserve"> </w:t>
      </w:r>
      <w:r>
        <w:rPr>
          <w:iCs/>
          <w:i/>
        </w:rPr>
        <w:t xml:space="preserve">@ruslan_bsag</w:t>
      </w:r>
      <w:r>
        <w:rPr>
          <w:iCs/>
          <w:i/>
        </w:rPr>
        <w:t xml:space="preserve"> </w:t>
      </w:r>
      <w:r>
        <w:rPr>
          <w:iCs/>
          <w:i/>
        </w:rPr>
        <w:t xml:space="preserve">· icoda.io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2026-05-21T15:29:42Z</dcterms:created>
  <dcterms:modified xsi:type="dcterms:W3CDTF">2026-05-21T15:29:42Z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