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D0D0D"/>
          <w:sz w:val="56"/>
        </w:rPr>
        <w:t>ICODA × Knoah</w:t>
      </w:r>
    </w:p>
    <w:p>
      <w:pPr>
        <w:spacing w:before="0" w:after="280"/>
      </w:pPr>
      <w:r>
        <w:rPr>
          <w:rFonts w:ascii="Calibri" w:hAnsi="Calibri"/>
          <w:color w:val="6B6B6B"/>
          <w:sz w:val="22"/>
        </w:rPr>
        <w:t>Global Launch Proposal  ·  60-Day Sprint  ·  June – August 2026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INVESTMENT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3A3A3A"/>
                <w:sz w:val="18"/>
              </w:rPr>
              <w:t>Markets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2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4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4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color w:val="3A3A3A"/>
                <w:sz w:val="18"/>
              </w:rPr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Russia + Turkey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All four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All four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3A3A3A"/>
                <w:sz w:val="18"/>
              </w:rPr>
              <w:t>ICODA service fee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$24K / month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$44K / month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$90K / month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3A3A3A"/>
                <w:sz w:val="18"/>
              </w:rPr>
              <w:t>Total · 60 days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$48K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$88K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$180K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3A3A3A"/>
                <w:sz w:val="18"/>
              </w:rPr>
              <w:t>Media budget (client-managed)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—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0D0D0D"/>
                <w:sz w:val="19"/>
              </w:rPr>
              <w:t>+$10K / month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0D0D0D"/>
                <w:sz w:val="19"/>
              </w:rPr>
              <w:t>+$26K / month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3A3A3A"/>
                <w:sz w:val="18"/>
              </w:rPr>
              <w:t>Service fee per market / mo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0D0D0D"/>
                <w:sz w:val="19"/>
              </w:rPr>
              <w:t>$12K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0D0D0D"/>
                <w:sz w:val="19"/>
              </w:rPr>
              <w:t>$11K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0D0D0D"/>
                <w:sz w:val="19"/>
              </w:rPr>
              <w:t>$22.5K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2"/>
            <w:shd w:val="clear" w:color="auto" w:fill="F5F5F5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20" w:after="120"/>
              <w:ind w:left="160" w:right="160"/>
            </w:pPr>
            <w:r>
              <w:rPr>
                <w:rFonts w:ascii="Calibri" w:hAnsi="Calibri"/>
                <w:i/>
                <w:color w:val="3A3A3A"/>
                <w:sz w:val="18"/>
              </w:rPr>
              <w:t>Why Pilot costs more per market than Growth: fixed infrastructure (account management, community setup, briefing cycles) is the same for 2 or 4 markets — spread over fewer markets, the per-unit cost is higher. Standard agency economics for boutique vs. scale engagements.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DELIVERABLES · KOLS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Tier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Mid-tier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Tier 2 + Tier 3 mix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Top-tier incl. Tier 1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Followers range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50K — 200K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50K — 500K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200K — 1M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KOLs per market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4 — 6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6 — 10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10 — 12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Total KOLs (all markets)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8 — 12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24 — 40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40 — 48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Combined audience reach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500K+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2M+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5M+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Launch coordination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Rolling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Rolling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Synchronized blast</w:t>
            </w:r>
          </w:p>
        </w:tc>
      </w:tr>
    </w:tbl>
    <w:p>
      <w:pPr>
        <w:spacing w:after="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DELIVERABLES · COMMUNITY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Platforms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Telegram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Telegram + Facebook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Telegram + Facebook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Community setup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✓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✓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✓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Local-language management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30 days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Daily · 60 days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Daily · 60 days + strategy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Competition mechanic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Via KOL channels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Active seeding + optimization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Active seeding + optimization</w:t>
            </w:r>
          </w:p>
        </w:tc>
      </w:tr>
    </w:tbl>
    <w:p>
      <w:pPr>
        <w:spacing w:after="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DELIVERABLES · PR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Placements per market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2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 xml:space="preserve"> 3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5+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Coverage type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Local crypto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Local + 1 international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Local + international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Investment announcement blast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—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Coordinated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20+ outlets · launch day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Total guaranteed placements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4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12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25+</w:t>
            </w:r>
          </w:p>
        </w:tc>
      </w:tr>
    </w:tbl>
    <w:p>
      <w:pPr>
        <w:spacing w:after="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DELIVERABLES · PAID MEDIA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Ad spend (client-managed)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—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$2K — 3K / market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$5K — 8K / market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Platforms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—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Meta + Google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Meta + Google + X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Campaign management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—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✓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✓ premium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Competitive intelligence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—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—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Real-time monitoring</w:t>
            </w:r>
          </w:p>
        </w:tc>
      </w:tr>
    </w:tbl>
    <w:p>
      <w:pPr>
        <w:spacing w:after="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DELIVERABLES · CREATIVE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Asset production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Shared (adapted per language)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Per-market localization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Per-market · premium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Value prop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Language only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Full per-market hooks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Full per-market · no shared assets</w:t>
            </w:r>
          </w:p>
        </w:tc>
      </w:tr>
    </w:tbl>
    <w:p>
      <w:pPr>
        <w:spacing w:after="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DELIVERABLES · REPORTING &amp;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Reporting cadence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Monthly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Bi-weekly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Weekly strategy calls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Account management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Shared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Shared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Dedicated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Attribution model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Standard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Standard + channel split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Full attribution stack</w:t>
            </w:r>
          </w:p>
        </w:tc>
      </w:tr>
    </w:tbl>
    <w:p>
      <w:pPr>
        <w:spacing w:after="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EXPECTED RESULTS · 60 DAYS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0D0D"/>
                <w:sz w:val="19"/>
              </w:rPr>
              <w:t>New registered users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1K — 3K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8K — 20K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30K — 60K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Community members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2K — 5K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10K+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25K+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Media placements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4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12+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25+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KOL impressions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500K+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2M+</w:t>
            </w:r>
          </w:p>
        </w:tc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5M+</w:t>
            </w:r>
          </w:p>
        </w:tc>
      </w:tr>
      <w:tr>
        <w:tc>
          <w:tcPr>
            <w:tcW w:type="dxa" w:w="294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0D0D0D"/>
                <w:sz w:val="19"/>
              </w:rPr>
              <w:t>Est. cost per user (service fee)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$16 — 48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$4.4 — 11</w:t>
            </w:r>
          </w:p>
        </w:tc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0D0D0D"/>
                <w:sz w:val="19"/>
              </w:rPr>
              <w:t>$3 — 6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WHEN TO CHOOSE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49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494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04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 SCALE</w:t>
            </w:r>
          </w:p>
        </w:tc>
      </w:tr>
      <w:tr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Best for</w:t>
            </w:r>
          </w:p>
        </w:tc>
        <w:tc>
          <w:tcPr>
            <w:tcW w:type="dxa" w:w="249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Risk-controlled test before full rollout</w:t>
            </w:r>
          </w:p>
        </w:tc>
        <w:tc>
          <w:tcPr>
            <w:tcW w:type="dxa" w:w="249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4-market launch sprint — recommended default for July window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Maximum amplification for the investment announcement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Ideal if</w:t>
            </w:r>
          </w:p>
        </w:tc>
        <w:tc>
          <w:tcPr>
            <w:tcW w:type="dxa" w:w="249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Board approval pending; needs proof-of-fit data first</w:t>
            </w:r>
          </w:p>
        </w:tc>
        <w:tc>
          <w:tcPr>
            <w:tcW w:type="dxa" w:w="249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Budget confirmed; July deadline is fixed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Announcement-day impact is the primary KPI</w:t>
            </w:r>
          </w:p>
        </w:tc>
      </w:tr>
      <w:tr>
        <w:tc>
          <w:tcPr>
            <w:tcW w:type="dxa" w:w="215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Trade-off</w:t>
            </w:r>
          </w:p>
        </w:tc>
        <w:tc>
          <w:tcPr>
            <w:tcW w:type="dxa" w:w="249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Misses BR + VN in Wave 1; partial announcement coverage</w:t>
            </w:r>
          </w:p>
        </w:tc>
        <w:tc>
          <w:tcPr>
            <w:tcW w:type="dxa" w:w="249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Requires $10K/mo client-managed media budget</w:t>
            </w:r>
          </w:p>
        </w:tc>
        <w:tc>
          <w:tcPr>
            <w:tcW w:type="dxa" w:w="204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Highest total investment; top-tier KOL slots must be confirmed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Path forward</w:t>
            </w:r>
          </w:p>
        </w:tc>
        <w:tc>
          <w:tcPr>
            <w:tcW w:type="dxa" w:w="249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Upgradeable to Growth at Month 2 on Wave 1 data</w:t>
            </w:r>
          </w:p>
        </w:tc>
        <w:tc>
          <w:tcPr>
            <w:tcW w:type="dxa" w:w="249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—</w:t>
            </w:r>
          </w:p>
        </w:tc>
        <w:tc>
          <w:tcPr>
            <w:tcW w:type="dxa" w:w="204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MEDIA BUDGET · HOW IT WORKS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2"/>
            <w:shd w:val="clear" w:color="auto" w:fill="F5F5F5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20" w:after="120"/>
              <w:ind w:left="160" w:right="160"/>
            </w:pPr>
            <w:r>
              <w:rPr>
                <w:rFonts w:ascii="Calibri" w:hAnsi="Calibri"/>
                <w:i/>
                <w:color w:val="3A3A3A"/>
                <w:sz w:val="18"/>
              </w:rPr>
              <w:t>The media budget (Growth: $10K/mo · Full Scale: $26K/mo) is client-owned spend paid directly to Meta, Google, and X. ICODA sets up, manages, and optimizes the campaigns — you see every dollar in your own ad account. Separated from the service fee intentionally: full visibility, full control.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PAYMENT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26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Month 1</w:t>
            </w:r>
          </w:p>
        </w:tc>
        <w:tc>
          <w:tcPr>
            <w:tcW w:type="dxa" w:w="2268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Month 2</w:t>
            </w:r>
          </w:p>
        </w:tc>
        <w:tc>
          <w:tcPr>
            <w:tcW w:type="dxa" w:w="2381"/>
            <w:shd w:val="clear" w:color="auto" w:fill="0D0D0D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26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Pilot</w:t>
            </w:r>
          </w:p>
        </w:tc>
        <w:tc>
          <w:tcPr>
            <w:tcW w:type="dxa" w:w="226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$24K</w:t>
            </w:r>
          </w:p>
        </w:tc>
        <w:tc>
          <w:tcPr>
            <w:tcW w:type="dxa" w:w="226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$24K</w:t>
            </w:r>
          </w:p>
        </w:tc>
        <w:tc>
          <w:tcPr>
            <w:tcW w:type="dxa" w:w="238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$48K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Growth</w:t>
            </w:r>
          </w:p>
        </w:tc>
        <w:tc>
          <w:tcPr>
            <w:tcW w:type="dxa" w:w="226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$44K</w:t>
            </w:r>
          </w:p>
        </w:tc>
        <w:tc>
          <w:tcPr>
            <w:tcW w:type="dxa" w:w="2268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$44K</w:t>
            </w:r>
          </w:p>
        </w:tc>
        <w:tc>
          <w:tcPr>
            <w:tcW w:type="dxa" w:w="2381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$88K</w:t>
            </w:r>
          </w:p>
        </w:tc>
      </w:tr>
      <w:tr>
        <w:tc>
          <w:tcPr>
            <w:tcW w:type="dxa" w:w="226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3A3A3A"/>
                <w:sz w:val="18"/>
              </w:rPr>
              <w:t>Full Scale</w:t>
            </w:r>
          </w:p>
        </w:tc>
        <w:tc>
          <w:tcPr>
            <w:tcW w:type="dxa" w:w="226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$90K</w:t>
            </w:r>
          </w:p>
        </w:tc>
        <w:tc>
          <w:tcPr>
            <w:tcW w:type="dxa" w:w="2268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$90K</w:t>
            </w:r>
          </w:p>
        </w:tc>
        <w:tc>
          <w:tcPr>
            <w:tcW w:type="dxa" w:w="2381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3A3A3A"/>
                <w:sz w:val="18"/>
              </w:rPr>
              <w:t>$180K</w:t>
            </w:r>
          </w:p>
        </w:tc>
      </w:tr>
    </w:tbl>
    <w:p>
      <w:pPr>
        <w:spacing w:after="20"/>
      </w:pP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/>
          <w:i w:val="0"/>
          <w:color w:val="3A3A3A"/>
          <w:sz w:val="18"/>
        </w:rPr>
        <w:t>Month 1</w:t>
      </w:r>
      <w:r>
        <w:rPr>
          <w:rFonts w:ascii="Calibri" w:hAnsi="Calibri"/>
          <w:b w:val="0"/>
          <w:i w:val="0"/>
          <w:color w:val="6B6B6B"/>
          <w:sz w:val="18"/>
        </w:rPr>
        <w:t xml:space="preserve"> — campaign build + Wave 1 launch (Russia + Turkey).  </w:t>
      </w:r>
      <w:r>
        <w:rPr>
          <w:rFonts w:ascii="Calibri" w:hAnsi="Calibri"/>
          <w:b/>
          <w:i w:val="0"/>
          <w:color w:val="3A3A3A"/>
          <w:sz w:val="18"/>
        </w:rPr>
        <w:t>Month 2</w:t>
      </w:r>
      <w:r>
        <w:rPr>
          <w:rFonts w:ascii="Calibri" w:hAnsi="Calibri"/>
          <w:b w:val="0"/>
          <w:i w:val="0"/>
          <w:color w:val="6B6B6B"/>
          <w:sz w:val="18"/>
        </w:rPr>
        <w:t xml:space="preserve"> — Wave 2 activation (Brazil + Vietnam) + investment-announcement blast.</w:t>
      </w:r>
    </w:p>
    <w:p>
      <w:pPr>
        <w:spacing w:before="40" w:after="80"/>
      </w:pPr>
      <w:r>
        <w:rPr>
          <w:rFonts w:ascii="Calibri" w:hAnsi="Calibri"/>
          <w:b w:val="0"/>
          <w:i/>
          <w:color w:val="6B6B6B"/>
          <w:sz w:val="18"/>
        </w:rPr>
        <w:t>No ongoing retainer — the engagement has a defined endpoint at Week 8.</w:t>
      </w:r>
    </w:p>
    <w:p>
      <w:pPr>
        <w:spacing w:before="360" w:after="120"/>
      </w:pPr>
      <w:r>
        <w:rPr>
          <w:rFonts w:ascii="Calibri" w:hAnsi="Calibri"/>
          <w:b/>
          <w:color w:val="6B6B6B"/>
          <w:sz w:val="16"/>
          <w:spacing w:val="120"/>
        </w:rPr>
        <w:t>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0D0D0D"/>
                <w:sz w:val="18"/>
              </w:rPr>
              <w:t>Week 1</w:t>
            </w:r>
          </w:p>
        </w:tc>
        <w:tc>
          <w:tcPr>
            <w:tcW w:type="dxa" w:w="7370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Contract signed · KOL outreach begins · communities set up (RU + TR)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0D0D0D"/>
                <w:sz w:val="18"/>
              </w:rPr>
              <w:t>Week 2</w:t>
            </w:r>
          </w:p>
        </w:tc>
        <w:tc>
          <w:tcPr>
            <w:tcW w:type="dxa" w:w="7370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KOL posts live · Telegram seeding · paid campaigns activated</w:t>
            </w:r>
          </w:p>
        </w:tc>
      </w:tr>
      <w:tr>
        <w:tc>
          <w:tcPr>
            <w:tcW w:type="dxa" w:w="181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0D0D0D"/>
                <w:sz w:val="18"/>
              </w:rPr>
              <w:t>Week 3</w:t>
            </w:r>
          </w:p>
        </w:tc>
        <w:tc>
          <w:tcPr>
            <w:tcW w:type="dxa" w:w="7370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Wave 1 live (RU + TR) · first attribution data · Wave 2 prep begins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0D0D0D"/>
                <w:sz w:val="18"/>
              </w:rPr>
              <w:t>Week 4</w:t>
            </w:r>
          </w:p>
        </w:tc>
        <w:tc>
          <w:tcPr>
            <w:tcW w:type="dxa" w:w="7370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Creative re-tuned for BR + VN using Week 3 data</w:t>
            </w:r>
          </w:p>
        </w:tc>
      </w:tr>
      <w:tr>
        <w:tc>
          <w:tcPr>
            <w:tcW w:type="dxa" w:w="181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0D0D0D"/>
                <w:sz w:val="18"/>
              </w:rPr>
              <w:t>Week 5</w:t>
            </w:r>
          </w:p>
        </w:tc>
        <w:tc>
          <w:tcPr>
            <w:tcW w:type="dxa" w:w="7370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Wave 2 live (BR + VN) · all four markets active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0D0D0D"/>
                <w:sz w:val="18"/>
              </w:rPr>
              <w:t>Weeks 6 — 8</w:t>
            </w:r>
          </w:p>
        </w:tc>
        <w:tc>
          <w:tcPr>
            <w:tcW w:type="dxa" w:w="7370"/>
            <w:shd w:val="clear" w:color="auto" w:fill="FFFFFF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Investment-announcement amplification blast across all markets</w:t>
            </w:r>
          </w:p>
        </w:tc>
      </w:tr>
      <w:tr>
        <w:tc>
          <w:tcPr>
            <w:tcW w:type="dxa" w:w="1814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0D0D0D"/>
                <w:sz w:val="18"/>
              </w:rPr>
              <w:t>End Month 2</w:t>
            </w:r>
          </w:p>
        </w:tc>
        <w:tc>
          <w:tcPr>
            <w:tcW w:type="dxa" w:w="7370"/>
            <w:shd w:val="clear" w:color="auto" w:fill="F9F9F9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color w:val="3A3A3A"/>
                <w:sz w:val="18"/>
              </w:rPr>
              <w:t>Full performance report + Month 3 optimization plan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2"/>
            <w:shd w:val="clear" w:color="auto" w:fill="F5F5F5"/>
            <w:tcBorders>
              <w:top w:val="nil" w:sz="0" w:space="0" w:color="FFFFFF"/>
            </w:tcBorders>
            <w:tcBorders>
              <w:bottom w:val="nil" w:sz="0" w:space="0" w:color="FFFFFF"/>
            </w:tcBorders>
            <w:tcBorders>
              <w:left w:val="nil" w:sz="0" w:space="0" w:color="FFFFFF"/>
            </w:tcBorders>
            <w:tcBorders>
              <w:right w:val="nil" w:sz="0" w:space="0" w:color="FFFFFF"/>
            </w:tcBorders>
          </w:tcPr>
          <w:p>
            <w:pPr>
              <w:spacing w:before="120" w:after="120"/>
              <w:ind w:left="160" w:right="160"/>
            </w:pPr>
            <w:r>
              <w:rPr>
                <w:rFonts w:ascii="Calibri" w:hAnsi="Calibri"/>
                <w:i/>
                <w:color w:val="3A3A3A"/>
                <w:sz w:val="18"/>
              </w:rPr>
              <w:t>Critical path: contract must be signed by June 1 to make the July announcement window. KOL briefing and community setup requires a full two weeks — there is no shortcut.</w:t>
            </w:r>
          </w:p>
        </w:tc>
      </w:tr>
    </w:tbl>
    <w:p>
      <w:pPr>
        <w:spacing w:after="120"/>
      </w:pPr>
    </w:p>
    <w:p>
      <w:pPr>
        <w:spacing w:before="40" w:after="40"/>
        <w:pBdr>
          <w:bottom w:val="single" w:sz="4" w:space="1" w:color="E0E0E0"/>
        </w:pBdr>
      </w:pPr>
    </w:p>
    <w:p>
      <w:pPr>
        <w:spacing w:before="120" w:after="0"/>
      </w:pPr>
      <w:r>
        <w:rPr>
          <w:rFonts w:ascii="Calibri" w:hAnsi="Calibri"/>
          <w:b w:val="0"/>
          <w:i w:val="0"/>
          <w:color w:val="6B6B6B"/>
          <w:sz w:val="17"/>
        </w:rPr>
        <w:t xml:space="preserve">Ruslan Pivnev  ·  CBDO, ICODA  ·  </w:t>
      </w:r>
      <w:r>
        <w:rPr>
          <w:rFonts w:ascii="Calibri" w:hAnsi="Calibri"/>
          <w:b w:val="0"/>
          <w:i w:val="0"/>
          <w:color w:val="6B6B6B"/>
          <w:sz w:val="17"/>
        </w:rPr>
        <w:t>rp@icoda.io</w:t>
      </w:r>
      <w:r>
        <w:rPr>
          <w:rFonts w:ascii="Calibri" w:hAnsi="Calibri"/>
          <w:b w:val="0"/>
          <w:i w:val="0"/>
          <w:color w:val="6B6B6B"/>
          <w:sz w:val="17"/>
        </w:rPr>
        <w:t xml:space="preserve">  ·  @ruslan_bsag  ·  icoda.io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