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E5AA0"/>
          <w:sz w:val="40"/>
        </w:rPr>
        <w:t>Коммерческое предложение для Qzino.com</w:t>
      </w:r>
    </w:p>
    <w:p>
      <w:pPr>
        <w:spacing w:after="320"/>
        <w:jc w:val="center"/>
      </w:pPr>
      <w:r>
        <w:rPr>
          <w:rFonts w:ascii="Calibri" w:hAnsi="Calibri"/>
          <w:b w:val="0"/>
          <w:i/>
          <w:color w:val="505050"/>
          <w:sz w:val="24"/>
        </w:rPr>
        <w:t>Перформанс-маркетинг на CPA-модели: Meta Ads + Google Ads + SEO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О нас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Специализируемся на перформанс-маркетинге для crypto-casino и iGaming. Работаем через платные каналы (Meta Ads, Google Ads) и органику (SEO), с фокусом на FTD-конверсии в крипто-казино сегменте. Ниже — реальные кейсы в вашей нише.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Релевантные кейсы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Кейс 1 — Crypto Casino, Meta Ads, Азия → 4 100% ROI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Задача: продвижение крипто-казино на азиатских рынках через Meta Ads в условиях жёстких ограничений платформы.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136 первых депозитов (FTD)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$45 222 выручки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ROI 4 100%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Подход: compliance-first запуск + performance-ориентированные креативы + точный таргетинг по аудиториям</w:t>
      </w:r>
    </w:p>
    <w:p>
      <w:pPr>
        <w:spacing w:before="40" w:after="80"/>
      </w:pPr>
      <w:r>
        <w:rPr>
          <w:rFonts w:ascii="Calibri" w:hAnsi="Calibri"/>
          <w:b w:val="0"/>
          <w:i/>
          <w:color w:val="505050"/>
          <w:sz w:val="22"/>
        </w:rPr>
        <w:t>Доказывает: даже в ограниченных категориях Meta даёт масштабируемый результат при правильном техническом исполнении.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Кейс 2 — Crypto Casino, SEO + Google AI Overview, Индия и Малайзия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Задача: органическое доминирование по high-intent запросам на двух крупных крипто-рынках без платного трафика.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Топ-3 в Google AI Overview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Попадание в Google Top Stories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$0 рекламного бюджета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Устойчивые позиции по конкурентным запросам crypto casino в Индии и Малайзии</w:t>
      </w:r>
    </w:p>
    <w:p>
      <w:pPr>
        <w:spacing w:before="40" w:after="80"/>
      </w:pPr>
      <w:r>
        <w:rPr>
          <w:rFonts w:ascii="Calibri" w:hAnsi="Calibri"/>
          <w:b w:val="0"/>
          <w:i/>
          <w:color w:val="505050"/>
          <w:sz w:val="22"/>
        </w:rPr>
        <w:t>Доказывает: SEO + авторитетные медиаразмещения дают топовую видимость в долгосрочной перспективе.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Кейс 3 — iGaming, Multi-channel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5X рост FTD через 9+ каналов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$3 629 112 суммарной выручки (GA4)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6.40 общий ROAS, пиковый до 7.5 в Google Ads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5M+ рекламных показов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Стратегия тестового периода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Гео: Бразилия (старт) → Канада / Worldwide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Бразилия — один из сильнейших рынков одновременно по крипте, беттингу и казино: высокий органический спрос, относительно низкий CPM, быстрый цикл до депозита. После отработки связки масштабируемся на Канаду и другие Worldwide гео.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Каналы (приоритет)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Facebook / Meta Ads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Google Ads (via cloaking)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SEO — подключается по результатам теста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Тестовые связки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Связка</w:t>
            </w:r>
          </w:p>
        </w:tc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Аудитория</w:t>
            </w:r>
          </w:p>
        </w:tc>
        <w:tc>
          <w:tcPr>
            <w:tcW w:type="dxa" w:w="2835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Формат</w:t>
            </w:r>
          </w:p>
        </w:tc>
      </w:tr>
      <w:tr>
        <w:tc>
          <w:tcPr>
            <w:tcW w:type="dxa" w:w="2835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Crypto + Casino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крипто-аудитория, casual gamers</w:t>
            </w:r>
          </w:p>
        </w:tc>
        <w:tc>
          <w:tcPr>
            <w:tcW w:type="dxa" w:w="2835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видео + статика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Crypto + Betting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крипто-аудитория, sports fans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видео + статика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/>
          <w:color w:val="A03C00"/>
          <w:sz w:val="22"/>
        </w:rPr>
        <w:t>Важное условие успешного теста: весь путь пользователя должен быть корректно собран — целевой креатив → целевые игры → PWA → post-reg flow → понятный путь к депозиту и игре. Без этого тест даёт искажённую картину, а не реальную эффективность канала.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Бюджет тестового периода (~30 дней)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</w:t>
            </w:r>
          </w:p>
        </w:tc>
        <w:tc>
          <w:tcPr>
            <w:tcW w:type="dxa" w:w="34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6236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Трафик (Meta + Google)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$6 800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Креативы (20–40 вариантов)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$500–$1 000</w:t>
            </w:r>
          </w:p>
        </w:tc>
      </w:tr>
      <w:tr>
        <w:tc>
          <w:tcPr>
            <w:tcW w:type="dxa" w:w="6236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Техническая часть (PWA, постбэки, tracking)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$450–$600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Аккаунты и расходники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$550–$650</w:t>
            </w:r>
          </w:p>
        </w:tc>
      </w:tr>
      <w:tr>
        <w:tc>
          <w:tcPr>
            <w:tcW w:type="dxa" w:w="6236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Запуск, тесты, оптимизация (фикс команды)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$1 500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Итого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~$9 500–$10 500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/>
          <w:color w:val="505050"/>
          <w:sz w:val="22"/>
        </w:rPr>
        <w:t>Рыночный бенчмарк для Бразилии: стоимость FTD в сегменте Casino+Betting — $90–$200 на холодном трафике.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CPA-условия (тестовый период)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Условие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Событие</w:t>
            </w:r>
          </w:p>
        </w:tc>
        <w:tc>
          <w:tcPr>
            <w:tcW w:type="dxa" w:w="56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FTD (First Time Deposit)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Минимальный депозит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уточняется на стороне Qzino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Hold</w:t>
            </w:r>
          </w:p>
        </w:tc>
        <w:tc>
          <w:tcPr>
            <w:tcW w:type="dxa" w:w="56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7–14 дней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Трекинг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ваша платформа или согласованный трекер (постбэк)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Длительность теста</w:t>
            </w:r>
          </w:p>
        </w:tc>
        <w:tc>
          <w:tcPr>
            <w:tcW w:type="dxa" w:w="56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30 дней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Отчётность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еженедельные срезы: CPL, CPA, CTR, ROAS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Масштабирование</w:t>
            </w:r>
          </w:p>
        </w:tc>
        <w:tc>
          <w:tcPr>
            <w:tcW w:type="dxa" w:w="56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по результатам теста, с вашего подтверждения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Условия запуска Google Ads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Структура затрат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</w:t>
            </w:r>
          </w:p>
        </w:tc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56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Сервисная комиссия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$5 500 / мес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Инфраструктура (Tier 2–3, напр. Бразилия)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$3 500 / мес</w:t>
            </w:r>
          </w:p>
        </w:tc>
      </w:tr>
      <w:tr>
        <w:tc>
          <w:tcPr>
            <w:tcW w:type="dxa" w:w="56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Инфраструктура (Tier 1, напр. Канада)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$4 500 / мес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/>
          <w:color w:val="505050"/>
          <w:sz w:val="22"/>
        </w:rPr>
        <w:t>Инфраструктура включает: cloaking-ПО, Google Ads аккаунты, white page домены + контент, хостинг, антидетект-браузер, прокси.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Надбавка по объёму трафика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Бюджет на трафик</w:t>
            </w:r>
          </w:p>
        </w:tc>
        <w:tc>
          <w:tcPr>
            <w:tcW w:type="dxa" w:w="51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Надбавка к инфраструктуре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$1 000 – $3 000</w:t>
            </w:r>
          </w:p>
        </w:tc>
        <w:tc>
          <w:tcPr>
            <w:tcW w:type="dxa" w:w="51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без надбавки (базовая инфраструктура)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$3 001 – $6 000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+ $1 000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$6 001 – $9 000</w:t>
            </w:r>
          </w:p>
        </w:tc>
        <w:tc>
          <w:tcPr>
            <w:tcW w:type="dxa" w:w="51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+ $2 000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Платёжная комиссия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Условие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Комиссия на трафик-бюджет</w:t>
            </w:r>
          </w:p>
        </w:tc>
        <w:tc>
          <w:tcPr>
            <w:tcW w:type="dxa" w:w="56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+10% (уникальные платёжные методы для аккаунтов)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НДС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большинство аккаунтов VAT-free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/>
          <w:color w:val="A03C00"/>
          <w:sz w:val="22"/>
        </w:rPr>
        <w:t>Сервисная и инфраструктурная комиссии невозвратны (non-refundable).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Пример расчёта: Бразилия, трафик $6 800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</w:t>
            </w:r>
          </w:p>
        </w:tc>
        <w:tc>
          <w:tcPr>
            <w:tcW w:type="dxa" w:w="34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6236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Сервисная комиссия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$5 500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Инфраструктура (Tier 2–3)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$3 500</w:t>
            </w:r>
          </w:p>
        </w:tc>
      </w:tr>
      <w:tr>
        <w:tc>
          <w:tcPr>
            <w:tcW w:type="dxa" w:w="6236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Надбавка (трафик $6 001–$9 000)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$2 000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Трафик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$6 800</w:t>
            </w:r>
          </w:p>
        </w:tc>
      </w:tr>
      <w:tr>
        <w:tc>
          <w:tcPr>
            <w:tcW w:type="dxa" w:w="6236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Платёжная комиссия (10%)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$680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Итого за месяц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$18 480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Meta Ads vs Google Ads — сравнение по метрикам</w:t>
      </w:r>
    </w:p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Бразилия (Tier 2–3)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Метрика</w:t>
            </w:r>
          </w:p>
        </w:tc>
        <w:tc>
          <w:tcPr>
            <w:tcW w:type="dxa" w:w="34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Ads</w:t>
            </w:r>
          </w:p>
        </w:tc>
        <w:tc>
          <w:tcPr>
            <w:tcW w:type="dxa" w:w="34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Google Ads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CPM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$4–8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$6–12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CTR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1.5–3.5%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3–6% (search)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CPL (регистрация)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$8–18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$12–25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CPA (FTD)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$90–160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$120–200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ROAS (ожид.)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4–6x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3–5x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Скорость выхода на результат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7–14 дней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10–21 день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Объём аудитории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очень высокий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Уровень конкуренции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высокий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очень высокий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Канада (Tier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Метрика</w:t>
            </w:r>
          </w:p>
        </w:tc>
        <w:tc>
          <w:tcPr>
            <w:tcW w:type="dxa" w:w="34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Ads</w:t>
            </w:r>
          </w:p>
        </w:tc>
        <w:tc>
          <w:tcPr>
            <w:tcW w:type="dxa" w:w="34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Google Ads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CPM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$12–22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$18–35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CTR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1.0–2.5%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3–7% (search)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CPL (регистрация)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$20–40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$30–60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CPA (FTD)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$150–280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$180–350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ROAS (ожид.)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3–5x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2.5–4x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Скорость выхода на результат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10–21 день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14–28 дней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Объём аудитории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средний</w:t>
            </w:r>
          </w:p>
        </w:tc>
        <w:tc>
          <w:tcPr>
            <w:tcW w:type="dxa" w:w="3402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средний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Уровень конкуренции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очень высокий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критически высокий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44682"/>
          <w:sz w:val="26"/>
        </w:rPr>
        <w:t>Сводное сравнение каналов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Ads</w:t>
            </w:r>
          </w:p>
        </w:tc>
        <w:tc>
          <w:tcPr>
            <w:tcW w:type="dxa" w:w="3969"/>
            <w:shd w:val="clear" w:color="auto" w:fill="1E5AA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Google Ads</w:t>
            </w:r>
          </w:p>
        </w:tc>
      </w:tr>
      <w:tr>
        <w:tc>
          <w:tcPr>
            <w:tcW w:type="dxa" w:w="3402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Тип трафика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холодный, широкий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тёплый, intent-based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Качество FTD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среднее → высокое при оптимизации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высокое (пользователь сам ищет)</w:t>
            </w:r>
          </w:p>
        </w:tc>
      </w:tr>
      <w:tr>
        <w:tc>
          <w:tcPr>
            <w:tcW w:type="dxa" w:w="3402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Масштабируемость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высокая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ограничена объёмом запросов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Сложность запуска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средняя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высокая (cloaking обязателен)</w:t>
            </w:r>
          </w:p>
        </w:tc>
      </w:tr>
      <w:tr>
        <w:tc>
          <w:tcPr>
            <w:tcW w:type="dxa" w:w="3402"/>
            <w:shd w:val="clear" w:color="auto" w:fill="EEF4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Стоимость инфраструктуры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ниже</w:t>
            </w:r>
          </w:p>
        </w:tc>
        <w:tc>
          <w:tcPr>
            <w:tcW w:type="dxa" w:w="3969"/>
            <w:shd w:val="clear" w:color="auto" w:fill="EEF4FB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выше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Рекомендация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основной канал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дополнительный канал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color w:val="1E5AA0"/>
          <w:sz w:val="22"/>
        </w:rPr>
        <w:t>Оптимальное распределение бюджета на трафик: ~60% Meta / ~40% Google на старте, с перераспределением после первых 2 недель по реальным данным.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Инфлюенсеры и стримеры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У вашей команды есть отдельный департамент по этому направлению — уважаем это разграничение. Если появится необходимость в стримерах или авторах, с которыми ваша команда ещё не работала, готовы предложить релевантные контакты. Финальное решение — на вашей стороне.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2"/>
        </w:rPr>
        <w:t>Следующий шаг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Для выхода на финальные CPA-ставки и подписания условий теста просим подтвердить: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Минимальный размер депозита, засчитываемого как FTD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Приоритетное гео для старта (Бразилия / Канада / другое)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Наличие готовой PWA и настроенного post-reg flow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Предпочтения по трекеру / постбэк-интеграции</w:t>
      </w:r>
    </w:p>
    <w:p>
      <w:pPr>
        <w:spacing w:before="40" w:after="80"/>
      </w:pPr>
      <w:r>
        <w:rPr>
          <w:rFonts w:ascii="Calibri" w:hAnsi="Calibri"/>
          <w:b/>
          <w:i w:val="0"/>
          <w:sz w:val="22"/>
        </w:rPr>
        <w:t>Готовы провести короткий звонок для согласования деталей в удобное для вас время.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