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807C" w14:textId="0A7FD263" w:rsidR="00207F5B" w:rsidRPr="00207F5B" w:rsidRDefault="00021FBF" w:rsidP="00207F5B">
      <w:pPr>
        <w:spacing w:line="480" w:lineRule="auto"/>
        <w:rPr>
          <w:rFonts w:ascii="Arial" w:hAnsi="Arial" w:cs="Arial"/>
          <w:b/>
          <w:bCs/>
        </w:rPr>
      </w:pPr>
      <w:r>
        <w:rPr>
          <w:rFonts w:ascii="Arial" w:hAnsi="Arial" w:cs="Arial"/>
          <w:b/>
          <w:bCs/>
        </w:rPr>
        <w:t xml:space="preserve">Collaborative Discussion 2 - </w:t>
      </w:r>
      <w:r w:rsidR="00207F5B" w:rsidRPr="00207F5B">
        <w:rPr>
          <w:rFonts w:ascii="Arial" w:hAnsi="Arial" w:cs="Arial"/>
          <w:b/>
          <w:bCs/>
        </w:rPr>
        <w:t>Initial Post</w:t>
      </w:r>
    </w:p>
    <w:p w14:paraId="5DFCA014" w14:textId="4407084E" w:rsidR="00207F5B" w:rsidRPr="00207F5B" w:rsidRDefault="00207F5B" w:rsidP="00207F5B">
      <w:pPr>
        <w:spacing w:line="480" w:lineRule="auto"/>
        <w:rPr>
          <w:rFonts w:ascii="Arial" w:hAnsi="Arial" w:cs="Arial"/>
        </w:rPr>
      </w:pPr>
      <w:r w:rsidRPr="00207F5B">
        <w:rPr>
          <w:rFonts w:ascii="Arial" w:hAnsi="Arial" w:cs="Arial"/>
        </w:rPr>
        <w:t>The General Data Protection Regulation (GDPR) and the UK Information Commissioner’s Office (ICO) provide complementary approaches to data protection, with the GDPR establishing legal requirements for securing personal data and the ICO translating these into regulatory expectations. Article 5(1)(f) of the UK GDPR requires organisations to handle personal data lawfully, transparently and securely, while Article 32 requires appropriate technical and organisational measures based on risk (Regulation (EU) 2016/679, Articles 5 and 32). The ICO describes Article 5(1)(f) as the security principle and advocates that security measures should be appropriate to the risks involved, meaning there is no single approach applicable to every organisation (ICO, 2023).</w:t>
      </w:r>
    </w:p>
    <w:p w14:paraId="3F95F522" w14:textId="77777777" w:rsidR="00207F5B" w:rsidRPr="00207F5B" w:rsidRDefault="00207F5B" w:rsidP="00207F5B">
      <w:pPr>
        <w:spacing w:line="480" w:lineRule="auto"/>
        <w:rPr>
          <w:rFonts w:ascii="Arial" w:hAnsi="Arial" w:cs="Arial"/>
        </w:rPr>
      </w:pPr>
      <w:r w:rsidRPr="00207F5B">
        <w:rPr>
          <w:rFonts w:ascii="Arial" w:hAnsi="Arial" w:cs="Arial"/>
        </w:rPr>
        <w:t>This risk-based approach extends beyond regulatory compliance, fostering responsible security and strengthening data protection and cyber resilience against evolving threats (Amoo et al., 2024). Moreover, UK GDPR exemptions may apply in circumstances including domestic purposes, law enforcement and intelligence services, or where compliance would prejudice the purpose of processing (ICO, 2024). Therefore, while the GDPR establishes overarching security requirements, the ICO’s contextual and discretionary application is essential to ensuring proportionate compliance, enabling organisations to adapt security measures to evolving threats while allowing for circumstances in which specific exemptions may be justified.</w:t>
      </w:r>
    </w:p>
    <w:p w14:paraId="76E9F955" w14:textId="77777777" w:rsidR="00207F5B" w:rsidRPr="00207F5B" w:rsidRDefault="00207F5B" w:rsidP="00207F5B">
      <w:pPr>
        <w:spacing w:line="480" w:lineRule="auto"/>
        <w:rPr>
          <w:rFonts w:ascii="Arial" w:hAnsi="Arial" w:cs="Arial"/>
        </w:rPr>
      </w:pPr>
      <w:r w:rsidRPr="00207F5B">
        <w:rPr>
          <w:rFonts w:ascii="Arial" w:hAnsi="Arial" w:cs="Arial"/>
        </w:rPr>
        <w:t xml:space="preserve">However, both the GDPR and the ICO face challenges in translating broad standards into practice. The GDPR’s emphasis on appropriate security can create uncertainty, particularly where pseudonymised data may still be re-identified using additional </w:t>
      </w:r>
      <w:r w:rsidRPr="00207F5B">
        <w:rPr>
          <w:rFonts w:ascii="Arial" w:hAnsi="Arial" w:cs="Arial"/>
        </w:rPr>
        <w:lastRenderedPageBreak/>
        <w:t>information. TfL’s use of Wi-Fi MAC addresses illustrates this issue, as such identifiers may constitute personal data where individuals can be identified directly or indirectly (Veale, Binns and Ausloos, 2018). The ICO also faces challenges concerning enforcement and proportionality. For example, British Airways and Marriott highlight challenges around enforcement, as both received only Notices of Intent, with neither proposed penalty paid (Burgess, 2020). Therefore, while the GDPR and ICO establish important personal data security standards, their broad and risk-based nature can create uncertainty, particularly when organisations must determine what constitutes appropriate security and regulators must balance effective enforcement with proportionality.</w:t>
      </w:r>
    </w:p>
    <w:p w14:paraId="090F25DF" w14:textId="77777777" w:rsidR="00207F5B" w:rsidRPr="00207F5B" w:rsidRDefault="00207F5B" w:rsidP="00207F5B">
      <w:pPr>
        <w:spacing w:line="480" w:lineRule="auto"/>
        <w:rPr>
          <w:rFonts w:ascii="Arial" w:hAnsi="Arial" w:cs="Arial"/>
        </w:rPr>
      </w:pPr>
      <w:r w:rsidRPr="00207F5B">
        <w:rPr>
          <w:rFonts w:ascii="Arial" w:hAnsi="Arial" w:cs="Arial"/>
          <w:b/>
          <w:bCs/>
        </w:rPr>
        <w:t>References</w:t>
      </w:r>
    </w:p>
    <w:p w14:paraId="252C9662" w14:textId="77777777" w:rsidR="00207F5B" w:rsidRPr="00207F5B" w:rsidRDefault="00207F5B" w:rsidP="00207F5B">
      <w:pPr>
        <w:spacing w:line="480" w:lineRule="auto"/>
        <w:rPr>
          <w:rFonts w:ascii="Arial" w:hAnsi="Arial" w:cs="Arial"/>
        </w:rPr>
      </w:pPr>
      <w:r w:rsidRPr="00207F5B">
        <w:rPr>
          <w:rFonts w:ascii="Arial" w:hAnsi="Arial" w:cs="Arial"/>
        </w:rPr>
        <w:t>Amoo, O.O. et al. (2024) ‘GDPR’s impact on cybersecurity: A review focusing on USA and European practices’, International Journal of Science and Research Archive, 11(1), pp. 1338–1347. Available at: https://doi.org/10.30574/ijsra.2024.11.1.0220.</w:t>
      </w:r>
    </w:p>
    <w:p w14:paraId="3A91F42F" w14:textId="77777777" w:rsidR="00207F5B" w:rsidRPr="00207F5B" w:rsidRDefault="00207F5B" w:rsidP="00207F5B">
      <w:pPr>
        <w:spacing w:line="480" w:lineRule="auto"/>
        <w:rPr>
          <w:rFonts w:ascii="Arial" w:hAnsi="Arial" w:cs="Arial"/>
        </w:rPr>
      </w:pPr>
      <w:r w:rsidRPr="00207F5B">
        <w:rPr>
          <w:rFonts w:ascii="Arial" w:hAnsi="Arial" w:cs="Arial"/>
        </w:rPr>
        <w:t xml:space="preserve">Burgess, M. (2020) </w:t>
      </w:r>
      <w:r w:rsidRPr="00207F5B">
        <w:rPr>
          <w:rFonts w:ascii="Arial" w:hAnsi="Arial" w:cs="Arial"/>
          <w:i/>
          <w:iCs/>
        </w:rPr>
        <w:t>What is GDPR? The summary guide to GDPR compliance in the UK</w:t>
      </w:r>
      <w:r w:rsidRPr="00207F5B">
        <w:rPr>
          <w:rFonts w:ascii="Arial" w:hAnsi="Arial" w:cs="Arial"/>
        </w:rPr>
        <w:t>. Available at: https://www.wired.com/story/what-is-gdpr-uk-eu-legislation-compliance-summary-fines-2018/ (Accessed: 12 September 2026).</w:t>
      </w:r>
    </w:p>
    <w:p w14:paraId="0C518CF6" w14:textId="77777777" w:rsidR="00207F5B" w:rsidRPr="00207F5B" w:rsidRDefault="00207F5B" w:rsidP="00207F5B">
      <w:pPr>
        <w:spacing w:line="480" w:lineRule="auto"/>
        <w:rPr>
          <w:rFonts w:ascii="Arial" w:hAnsi="Arial" w:cs="Arial"/>
        </w:rPr>
      </w:pPr>
      <w:r w:rsidRPr="00207F5B">
        <w:rPr>
          <w:rFonts w:ascii="Arial" w:hAnsi="Arial" w:cs="Arial"/>
        </w:rPr>
        <w:t xml:space="preserve">Information Commissioner’s Office (2023) </w:t>
      </w:r>
      <w:r w:rsidRPr="00207F5B">
        <w:rPr>
          <w:rFonts w:ascii="Arial" w:hAnsi="Arial" w:cs="Arial"/>
          <w:i/>
          <w:iCs/>
        </w:rPr>
        <w:t>A guide to data security</w:t>
      </w:r>
      <w:r w:rsidRPr="00207F5B">
        <w:rPr>
          <w:rFonts w:ascii="Arial" w:hAnsi="Arial" w:cs="Arial"/>
        </w:rPr>
        <w:t>. Available at: https://ico.org.uk/for-organisations/uk-gdpr-guidance-and-resources/security/a-guide-to-data-security (Accessed: 12 September 2026).</w:t>
      </w:r>
    </w:p>
    <w:p w14:paraId="2F9983B3" w14:textId="77777777" w:rsidR="00207F5B" w:rsidRPr="00207F5B" w:rsidRDefault="00207F5B" w:rsidP="00207F5B">
      <w:pPr>
        <w:spacing w:line="480" w:lineRule="auto"/>
        <w:rPr>
          <w:rFonts w:ascii="Arial" w:hAnsi="Arial" w:cs="Arial"/>
        </w:rPr>
      </w:pPr>
      <w:r w:rsidRPr="00207F5B">
        <w:rPr>
          <w:rFonts w:ascii="Arial" w:hAnsi="Arial" w:cs="Arial"/>
        </w:rPr>
        <w:t>Information Commissioner’s Office (2024) </w:t>
      </w:r>
      <w:r w:rsidRPr="00207F5B">
        <w:rPr>
          <w:rFonts w:ascii="Arial" w:hAnsi="Arial" w:cs="Arial"/>
          <w:i/>
          <w:iCs/>
        </w:rPr>
        <w:t>A guide to the data protection exemptions</w:t>
      </w:r>
      <w:r w:rsidRPr="00207F5B">
        <w:rPr>
          <w:rFonts w:ascii="Arial" w:hAnsi="Arial" w:cs="Arial"/>
        </w:rPr>
        <w:t>. Available at: https://ico.org.uk/for-organisations/uk-gdpr-guidance-and-</w:t>
      </w:r>
      <w:r w:rsidRPr="00207F5B">
        <w:rPr>
          <w:rFonts w:ascii="Arial" w:hAnsi="Arial" w:cs="Arial"/>
        </w:rPr>
        <w:lastRenderedPageBreak/>
        <w:t>resources/exemptions/a-guide-to-the-data-protection-exemptions/ (Accessed: 12 September 2026).</w:t>
      </w:r>
    </w:p>
    <w:p w14:paraId="2F5E24B3" w14:textId="77777777" w:rsidR="00207F5B" w:rsidRPr="00207F5B" w:rsidRDefault="00207F5B" w:rsidP="00207F5B">
      <w:pPr>
        <w:spacing w:line="480" w:lineRule="auto"/>
        <w:rPr>
          <w:rFonts w:ascii="Arial" w:hAnsi="Arial" w:cs="Arial"/>
        </w:rPr>
      </w:pPr>
      <w:r w:rsidRPr="00207F5B">
        <w:rPr>
          <w:rFonts w:ascii="Arial" w:hAnsi="Arial" w:cs="Arial"/>
          <w:i/>
          <w:iCs/>
        </w:rPr>
        <w:t>Regulation (EU) 2016/679 of the European Parliament and of the Council of 27 April 2016 (2016) Official Journal, L 119, 4 May, pp. 1–88. Available at: https://eur-lex.europa.eu/eli/reg/2016/679/oj (Accessed: 12 September 2026).</w:t>
      </w:r>
    </w:p>
    <w:p w14:paraId="49B2A31F" w14:textId="77777777" w:rsidR="00207F5B" w:rsidRPr="00207F5B" w:rsidRDefault="00207F5B" w:rsidP="00207F5B">
      <w:pPr>
        <w:spacing w:line="480" w:lineRule="auto"/>
        <w:rPr>
          <w:rFonts w:ascii="Arial" w:hAnsi="Arial" w:cs="Arial"/>
        </w:rPr>
      </w:pPr>
      <w:r w:rsidRPr="00207F5B">
        <w:rPr>
          <w:rFonts w:ascii="Arial" w:hAnsi="Arial" w:cs="Arial"/>
        </w:rPr>
        <w:t xml:space="preserve">Veale, M., Binns, R. and Ausloos, J. (2018) ‘When data protection by design and data subject rights clash’, </w:t>
      </w:r>
      <w:r w:rsidRPr="00207F5B">
        <w:rPr>
          <w:rFonts w:ascii="Arial" w:hAnsi="Arial" w:cs="Arial"/>
          <w:i/>
          <w:iCs/>
        </w:rPr>
        <w:t>International Data Privacy Law</w:t>
      </w:r>
      <w:r w:rsidRPr="00207F5B">
        <w:rPr>
          <w:rFonts w:ascii="Arial" w:hAnsi="Arial" w:cs="Arial"/>
        </w:rPr>
        <w:t>, 8(2), pp. 105–123. Available at: https://doi.org/10.1093/idpl/ipy002.</w:t>
      </w:r>
    </w:p>
    <w:p w14:paraId="04A60202" w14:textId="77777777" w:rsidR="00207F5B" w:rsidRDefault="00207F5B"/>
    <w:sectPr w:rsidR="00207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5B"/>
    <w:rsid w:val="00021FBF"/>
    <w:rsid w:val="00207F5B"/>
    <w:rsid w:val="00591739"/>
    <w:rsid w:val="006C6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D35F"/>
  <w15:chartTrackingRefBased/>
  <w15:docId w15:val="{0827FADA-9BA1-4450-BDB4-DE83610A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F5B"/>
    <w:rPr>
      <w:rFonts w:eastAsiaTheme="majorEastAsia" w:cstheme="majorBidi"/>
      <w:color w:val="272727" w:themeColor="text1" w:themeTint="D8"/>
    </w:rPr>
  </w:style>
  <w:style w:type="paragraph" w:styleId="Title">
    <w:name w:val="Title"/>
    <w:basedOn w:val="Normal"/>
    <w:next w:val="Normal"/>
    <w:link w:val="TitleChar"/>
    <w:uiPriority w:val="10"/>
    <w:qFormat/>
    <w:rsid w:val="0020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F5B"/>
    <w:pPr>
      <w:spacing w:before="160"/>
      <w:jc w:val="center"/>
    </w:pPr>
    <w:rPr>
      <w:i/>
      <w:iCs/>
      <w:color w:val="404040" w:themeColor="text1" w:themeTint="BF"/>
    </w:rPr>
  </w:style>
  <w:style w:type="character" w:customStyle="1" w:styleId="QuoteChar">
    <w:name w:val="Quote Char"/>
    <w:basedOn w:val="DefaultParagraphFont"/>
    <w:link w:val="Quote"/>
    <w:uiPriority w:val="29"/>
    <w:rsid w:val="00207F5B"/>
    <w:rPr>
      <w:i/>
      <w:iCs/>
      <w:color w:val="404040" w:themeColor="text1" w:themeTint="BF"/>
    </w:rPr>
  </w:style>
  <w:style w:type="paragraph" w:styleId="ListParagraph">
    <w:name w:val="List Paragraph"/>
    <w:basedOn w:val="Normal"/>
    <w:uiPriority w:val="34"/>
    <w:qFormat/>
    <w:rsid w:val="00207F5B"/>
    <w:pPr>
      <w:ind w:left="720"/>
      <w:contextualSpacing/>
    </w:pPr>
  </w:style>
  <w:style w:type="character" w:styleId="IntenseEmphasis">
    <w:name w:val="Intense Emphasis"/>
    <w:basedOn w:val="DefaultParagraphFont"/>
    <w:uiPriority w:val="21"/>
    <w:qFormat/>
    <w:rsid w:val="00207F5B"/>
    <w:rPr>
      <w:i/>
      <w:iCs/>
      <w:color w:val="0F4761" w:themeColor="accent1" w:themeShade="BF"/>
    </w:rPr>
  </w:style>
  <w:style w:type="paragraph" w:styleId="IntenseQuote">
    <w:name w:val="Intense Quote"/>
    <w:basedOn w:val="Normal"/>
    <w:next w:val="Normal"/>
    <w:link w:val="IntenseQuoteChar"/>
    <w:uiPriority w:val="30"/>
    <w:qFormat/>
    <w:rsid w:val="0020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F5B"/>
    <w:rPr>
      <w:i/>
      <w:iCs/>
      <w:color w:val="0F4761" w:themeColor="accent1" w:themeShade="BF"/>
    </w:rPr>
  </w:style>
  <w:style w:type="character" w:styleId="IntenseReference">
    <w:name w:val="Intense Reference"/>
    <w:basedOn w:val="DefaultParagraphFont"/>
    <w:uiPriority w:val="32"/>
    <w:qFormat/>
    <w:rsid w:val="00207F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2</cp:revision>
  <dcterms:created xsi:type="dcterms:W3CDTF">2026-10-12T20:09:00Z</dcterms:created>
  <dcterms:modified xsi:type="dcterms:W3CDTF">2026-10-12T20:18:00Z</dcterms:modified>
</cp:coreProperties>
</file>