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19748" w14:textId="1D34BCDD" w:rsidR="00107019" w:rsidRPr="00107019" w:rsidRDefault="006D6DA9" w:rsidP="00107019">
      <w:pPr>
        <w:spacing w:line="480" w:lineRule="auto"/>
        <w:rPr>
          <w:rFonts w:ascii="Arial" w:hAnsi="Arial" w:cs="Arial"/>
          <w:b/>
          <w:bCs/>
          <w:color w:val="000000" w:themeColor="text1"/>
        </w:rPr>
      </w:pPr>
      <w:r w:rsidRPr="00107019">
        <w:rPr>
          <w:rFonts w:ascii="Arial" w:hAnsi="Arial" w:cs="Arial"/>
          <w:b/>
          <w:bCs/>
          <w:color w:val="000000" w:themeColor="text1"/>
        </w:rPr>
        <w:t xml:space="preserve">Collaborative Discussion 2 – Peer Response </w:t>
      </w:r>
      <w:r w:rsidR="00C76649">
        <w:rPr>
          <w:rFonts w:ascii="Arial" w:hAnsi="Arial" w:cs="Arial"/>
          <w:b/>
          <w:bCs/>
          <w:color w:val="000000" w:themeColor="text1"/>
        </w:rPr>
        <w:t>1</w:t>
      </w:r>
      <w:r w:rsidR="00107019" w:rsidRPr="00107019">
        <w:rPr>
          <w:rFonts w:ascii="Arial" w:hAnsi="Arial" w:cs="Arial"/>
          <w:color w:val="000000" w:themeColor="text1"/>
        </w:rPr>
        <w:br/>
        <w:t>Hi Marwa,</w:t>
      </w:r>
    </w:p>
    <w:p w14:paraId="32021FBE" w14:textId="4C2F9DF7" w:rsidR="00107019" w:rsidRPr="00107019" w:rsidRDefault="00107019" w:rsidP="00107019">
      <w:pPr>
        <w:spacing w:line="480" w:lineRule="auto"/>
        <w:rPr>
          <w:rFonts w:ascii="Arial" w:hAnsi="Arial" w:cs="Arial"/>
          <w:color w:val="000000" w:themeColor="text1"/>
        </w:rPr>
      </w:pPr>
      <w:r w:rsidRPr="00107019">
        <w:rPr>
          <w:rFonts w:ascii="Arial" w:hAnsi="Arial" w:cs="Arial"/>
          <w:color w:val="000000" w:themeColor="text1"/>
        </w:rPr>
        <w:t>Your post provides a good exploration of the similarities between the two frameworks. I think your discussion could be further developed by comparing the exemptions under the GDPR with the exceptions under UAE law. For example, UK GDPR exemptions may apply in circumstances involving domestic purposes, law enforcement and intelligence services, or where compliance would prejudice the purpose of processing (ICO, 2024). In my opinion, it would be interesting to consider how these compare with the exceptions under UAE law and whether the approach taken by either framework provides more appropriate exceptions. I also think it is important to consider that companies established in the free zones of the Dubai International Financial Centre (DIFC) and the Abu Dhabi Global Market (ADGM) are subject to their own data protection laws (Baig and Khan, 2022). In my view, having separate data protection laws within these free zones could make the overall regulatory framework more complex and create additional challenges.</w:t>
      </w:r>
    </w:p>
    <w:p w14:paraId="6B973F31" w14:textId="77777777" w:rsidR="00107019" w:rsidRPr="00107019" w:rsidRDefault="00107019" w:rsidP="00107019">
      <w:pPr>
        <w:spacing w:line="480" w:lineRule="auto"/>
        <w:rPr>
          <w:rFonts w:ascii="Arial" w:hAnsi="Arial" w:cs="Arial"/>
          <w:color w:val="000000" w:themeColor="text1"/>
        </w:rPr>
      </w:pPr>
      <w:r w:rsidRPr="00107019">
        <w:rPr>
          <w:rFonts w:ascii="Arial" w:hAnsi="Arial" w:cs="Arial"/>
          <w:color w:val="000000" w:themeColor="text1"/>
        </w:rPr>
        <w:t xml:space="preserve">I agree with your point that organisations working with big data face increasing concerns about security breaches. I think this could be further developed by considering real-world examples and examining how effectively each framework responds to these incidents. In my opinion, the effectiveness of a data protection framework should not only be considered in terms of the level of protection it provides, but also how effectively breaches are identified, investigated and penalised. Regarding the GDPR, research suggests that although many GDPR fines have been relatively small, the largest fines have been triggered by security incidents, with security violations receiving larger fines on average than privacy violations (Wolff and Atallah, 2021). In comparison, the GDPR has more mature </w:t>
      </w:r>
      <w:r w:rsidRPr="00107019">
        <w:rPr>
          <w:rFonts w:ascii="Arial" w:hAnsi="Arial" w:cs="Arial"/>
          <w:color w:val="000000" w:themeColor="text1"/>
        </w:rPr>
        <w:lastRenderedPageBreak/>
        <w:t>enforcement structures and well-established fines, while the UAE's enforcement mechanisms and the process for determining fines are still developing (Psomiadi, 2026). I think comparing these differences would strengthen your discussion, particularly by considering whether the GDPR's more established enforcement approach could provide useful insights for the continued development of data protection law in the UAE.</w:t>
      </w:r>
    </w:p>
    <w:p w14:paraId="24602B6C" w14:textId="49584549" w:rsidR="00107019" w:rsidRPr="00107019" w:rsidRDefault="00107019" w:rsidP="00107019">
      <w:pPr>
        <w:spacing w:line="480" w:lineRule="auto"/>
        <w:rPr>
          <w:rFonts w:ascii="Arial" w:hAnsi="Arial" w:cs="Arial"/>
          <w:b/>
          <w:bCs/>
          <w:color w:val="000000" w:themeColor="text1"/>
        </w:rPr>
      </w:pPr>
      <w:r w:rsidRPr="00107019">
        <w:rPr>
          <w:rFonts w:ascii="Arial" w:hAnsi="Arial" w:cs="Arial"/>
          <w:b/>
          <w:bCs/>
          <w:color w:val="000000" w:themeColor="text1"/>
        </w:rPr>
        <w:br/>
        <w:t>References</w:t>
      </w:r>
    </w:p>
    <w:p w14:paraId="186E8203" w14:textId="77777777" w:rsidR="00107019" w:rsidRPr="00107019" w:rsidRDefault="00107019" w:rsidP="00107019">
      <w:pPr>
        <w:spacing w:line="480" w:lineRule="auto"/>
        <w:rPr>
          <w:rFonts w:ascii="Arial" w:hAnsi="Arial" w:cs="Arial"/>
          <w:color w:val="000000" w:themeColor="text1"/>
        </w:rPr>
      </w:pPr>
      <w:r w:rsidRPr="00107019">
        <w:rPr>
          <w:rFonts w:ascii="Arial" w:hAnsi="Arial" w:cs="Arial"/>
          <w:color w:val="000000" w:themeColor="text1"/>
        </w:rPr>
        <w:t>Baig, A. and Khan, M. (2022) GDPR &amp; UAE’s New Data Protection Law: Key Similarities To Know. Available at: https://securiti.ai/gdpr-uae/ (Accessed: 20 September 2026).</w:t>
      </w:r>
    </w:p>
    <w:p w14:paraId="627E7445" w14:textId="77777777" w:rsidR="00107019" w:rsidRPr="00107019" w:rsidRDefault="00107019" w:rsidP="00107019">
      <w:pPr>
        <w:spacing w:line="480" w:lineRule="auto"/>
        <w:rPr>
          <w:rFonts w:ascii="Arial" w:hAnsi="Arial" w:cs="Arial"/>
          <w:color w:val="000000" w:themeColor="text1"/>
        </w:rPr>
      </w:pPr>
      <w:r w:rsidRPr="00107019">
        <w:rPr>
          <w:rFonts w:ascii="Arial" w:hAnsi="Arial" w:cs="Arial"/>
          <w:color w:val="000000" w:themeColor="text1"/>
        </w:rPr>
        <w:t>Information Commissioner’s Office (2024) A guide to the data protection exemptions. Available at: https://ico.org.uk/for-organisations/uk-gdpr-guidance-and-resources/exemptions/a-guide-to-the-data-protection-exemptions/ (Accessed: 20 September 2026).</w:t>
      </w:r>
    </w:p>
    <w:p w14:paraId="283F6A56" w14:textId="77777777" w:rsidR="00107019" w:rsidRPr="00107019" w:rsidRDefault="00107019" w:rsidP="00107019">
      <w:pPr>
        <w:spacing w:line="480" w:lineRule="auto"/>
        <w:rPr>
          <w:rFonts w:ascii="Arial" w:hAnsi="Arial" w:cs="Arial"/>
          <w:color w:val="000000" w:themeColor="text1"/>
        </w:rPr>
      </w:pPr>
      <w:r w:rsidRPr="00107019">
        <w:rPr>
          <w:rFonts w:ascii="Arial" w:hAnsi="Arial" w:cs="Arial"/>
          <w:color w:val="000000" w:themeColor="text1"/>
        </w:rPr>
        <w:t>Psomiadi, A. (2026) Understanding the UAE’s Personal Data Protection Law. Available at: https://pandectes.io/blog/understanding-the-uaes-personal-data-protection-law/ (Accessed: 20 September 2026).</w:t>
      </w:r>
    </w:p>
    <w:p w14:paraId="23DF34F8" w14:textId="77777777" w:rsidR="00107019" w:rsidRPr="00107019" w:rsidRDefault="00107019" w:rsidP="00107019">
      <w:pPr>
        <w:spacing w:line="480" w:lineRule="auto"/>
        <w:rPr>
          <w:rFonts w:ascii="Arial" w:hAnsi="Arial" w:cs="Arial"/>
          <w:color w:val="000000" w:themeColor="text1"/>
        </w:rPr>
      </w:pPr>
      <w:r w:rsidRPr="00107019">
        <w:rPr>
          <w:rFonts w:ascii="Arial" w:hAnsi="Arial" w:cs="Arial"/>
          <w:color w:val="000000" w:themeColor="text1"/>
        </w:rPr>
        <w:t>Wolff, J. and Atallah, N. (2021) ‘Early GDPR penalties: Analysis of implementation and fines through May 2020’, Journal of Information Policy, 11, pp. 63–103. Available at: https://doi.org/10.5325/jinfopoli.11.2021.0063 (Accessed: 20 September 2026).</w:t>
      </w:r>
    </w:p>
    <w:p w14:paraId="01B40207" w14:textId="77777777" w:rsidR="006D6DA9" w:rsidRPr="00107019" w:rsidRDefault="006D6DA9" w:rsidP="00107019">
      <w:pPr>
        <w:spacing w:line="480" w:lineRule="auto"/>
        <w:rPr>
          <w:color w:val="000000" w:themeColor="text1"/>
        </w:rPr>
      </w:pPr>
    </w:p>
    <w:sectPr w:rsidR="006D6DA9" w:rsidRPr="001070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DA9"/>
    <w:rsid w:val="00107019"/>
    <w:rsid w:val="00621C52"/>
    <w:rsid w:val="006D6DA9"/>
    <w:rsid w:val="00770A7C"/>
    <w:rsid w:val="00A25674"/>
    <w:rsid w:val="00C66A51"/>
    <w:rsid w:val="00C766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F0962"/>
  <w15:chartTrackingRefBased/>
  <w15:docId w15:val="{3FD45034-8E3C-46E5-B830-B32F9E80E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D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6D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6D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6D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6D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6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D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6D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6D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D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D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DA9"/>
    <w:rPr>
      <w:rFonts w:eastAsiaTheme="majorEastAsia" w:cstheme="majorBidi"/>
      <w:color w:val="272727" w:themeColor="text1" w:themeTint="D8"/>
    </w:rPr>
  </w:style>
  <w:style w:type="paragraph" w:styleId="Title">
    <w:name w:val="Title"/>
    <w:basedOn w:val="Normal"/>
    <w:next w:val="Normal"/>
    <w:link w:val="TitleChar"/>
    <w:uiPriority w:val="10"/>
    <w:qFormat/>
    <w:rsid w:val="006D6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DA9"/>
    <w:pPr>
      <w:spacing w:before="160"/>
      <w:jc w:val="center"/>
    </w:pPr>
    <w:rPr>
      <w:i/>
      <w:iCs/>
      <w:color w:val="404040" w:themeColor="text1" w:themeTint="BF"/>
    </w:rPr>
  </w:style>
  <w:style w:type="character" w:customStyle="1" w:styleId="QuoteChar">
    <w:name w:val="Quote Char"/>
    <w:basedOn w:val="DefaultParagraphFont"/>
    <w:link w:val="Quote"/>
    <w:uiPriority w:val="29"/>
    <w:rsid w:val="006D6DA9"/>
    <w:rPr>
      <w:i/>
      <w:iCs/>
      <w:color w:val="404040" w:themeColor="text1" w:themeTint="BF"/>
    </w:rPr>
  </w:style>
  <w:style w:type="paragraph" w:styleId="ListParagraph">
    <w:name w:val="List Paragraph"/>
    <w:basedOn w:val="Normal"/>
    <w:uiPriority w:val="34"/>
    <w:qFormat/>
    <w:rsid w:val="006D6DA9"/>
    <w:pPr>
      <w:ind w:left="720"/>
      <w:contextualSpacing/>
    </w:pPr>
  </w:style>
  <w:style w:type="character" w:styleId="IntenseEmphasis">
    <w:name w:val="Intense Emphasis"/>
    <w:basedOn w:val="DefaultParagraphFont"/>
    <w:uiPriority w:val="21"/>
    <w:qFormat/>
    <w:rsid w:val="006D6DA9"/>
    <w:rPr>
      <w:i/>
      <w:iCs/>
      <w:color w:val="0F4761" w:themeColor="accent1" w:themeShade="BF"/>
    </w:rPr>
  </w:style>
  <w:style w:type="paragraph" w:styleId="IntenseQuote">
    <w:name w:val="Intense Quote"/>
    <w:basedOn w:val="Normal"/>
    <w:next w:val="Normal"/>
    <w:link w:val="IntenseQuoteChar"/>
    <w:uiPriority w:val="30"/>
    <w:qFormat/>
    <w:rsid w:val="006D6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DA9"/>
    <w:rPr>
      <w:i/>
      <w:iCs/>
      <w:color w:val="0F4761" w:themeColor="accent1" w:themeShade="BF"/>
    </w:rPr>
  </w:style>
  <w:style w:type="character" w:styleId="IntenseReference">
    <w:name w:val="Intense Reference"/>
    <w:basedOn w:val="DefaultParagraphFont"/>
    <w:uiPriority w:val="32"/>
    <w:qFormat/>
    <w:rsid w:val="006D6D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472</Words>
  <Characters>2695</Characters>
  <Application>Microsoft Office Word</Application>
  <DocSecurity>0</DocSecurity>
  <Lines>22</Lines>
  <Paragraphs>6</Paragraphs>
  <ScaleCrop>false</ScaleCrop>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Rebekah Pollington</dc:creator>
  <cp:keywords/>
  <dc:description/>
  <cp:lastModifiedBy>Rebekah Pollington</cp:lastModifiedBy>
  <cp:revision>5</cp:revision>
  <dcterms:created xsi:type="dcterms:W3CDTF">2026-10-12T20:10:00Z</dcterms:created>
  <dcterms:modified xsi:type="dcterms:W3CDTF">2026-10-12T20:17:00Z</dcterms:modified>
</cp:coreProperties>
</file>