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FE6E" w14:textId="47405085" w:rsidR="00433E48" w:rsidRPr="00433E48" w:rsidRDefault="00433E48" w:rsidP="00433E48">
      <w:pPr>
        <w:spacing w:line="480" w:lineRule="auto"/>
        <w:rPr>
          <w:rFonts w:ascii="Arial" w:hAnsi="Arial" w:cs="Arial"/>
          <w:b/>
          <w:bCs/>
        </w:rPr>
      </w:pPr>
      <w:r w:rsidRPr="00433E48">
        <w:rPr>
          <w:rFonts w:ascii="Arial" w:hAnsi="Arial" w:cs="Arial"/>
          <w:b/>
          <w:bCs/>
        </w:rPr>
        <w:t>Collaborative Discussion 2 – Peer Response 2</w:t>
      </w:r>
    </w:p>
    <w:p w14:paraId="5426AE7B" w14:textId="398480EB" w:rsidR="00433E48" w:rsidRPr="00433E48" w:rsidRDefault="00433E48" w:rsidP="00433E48">
      <w:pPr>
        <w:spacing w:line="480" w:lineRule="auto"/>
        <w:rPr>
          <w:rFonts w:ascii="Arial" w:hAnsi="Arial" w:cs="Arial"/>
        </w:rPr>
      </w:pPr>
      <w:r w:rsidRPr="00433E48">
        <w:rPr>
          <w:rFonts w:ascii="Arial" w:hAnsi="Arial" w:cs="Arial"/>
        </w:rPr>
        <w:t>Hi Chika,</w:t>
      </w:r>
    </w:p>
    <w:p w14:paraId="0BB81B3A" w14:textId="7D4616AC" w:rsidR="00433E48" w:rsidRPr="00433E48" w:rsidRDefault="00433E48" w:rsidP="00433E48">
      <w:pPr>
        <w:spacing w:line="480" w:lineRule="auto"/>
        <w:rPr>
          <w:rFonts w:ascii="Arial" w:hAnsi="Arial" w:cs="Arial"/>
        </w:rPr>
      </w:pPr>
      <w:r w:rsidRPr="00433E48">
        <w:rPr>
          <w:rFonts w:ascii="Arial" w:hAnsi="Arial" w:cs="Arial"/>
        </w:rPr>
        <w:t>Your initial post clearly describes the GDPR and the ICO’s collaborative approach to security, explaining how to achieve this while also highlighting the relevant exceptions. I particularly like your exploration of implementation measures to strengthen data security, especially your recognition that big data analytics creates novel and complex challenges for GDPR compliance. However, I think it is important to critically examine whether these security expectations are equally achievable across organisations. While larger organisations may have the financial and technical resources to implement sophisticated security measures, smaller-sized businesses may face significant barriers. Research indicates that smaller organisations have struggled with GDPR compliance, particularly around understanding qualitative requirements, mapping data flows and verifying compliance in the absence of established case law (Sirur, Nurse and Webb, 2018). This raises an important question about the extent to which GDPR effectively protects personal data if the resources required for compliance are disproportionately burdensome for smaller businesses.</w:t>
      </w:r>
      <w:r w:rsidRPr="00433E48">
        <w:rPr>
          <w:rFonts w:ascii="Arial" w:hAnsi="Arial" w:cs="Arial"/>
        </w:rPr>
        <w:br/>
        <w:t xml:space="preserve">Your discussion of medical data is also particularly relevant given the sensitivity and volume of information that medical records contain. However, GDPR may create another tension between privacy protection and advancements in medical research. Differences in national implementation and interpretation can make health-data research more attainable in some EU Member States than others, potentially creating what has been described as “research havens.” This fragmentation could undermine the GDPR’s objective of establishing a consistent data-protection framework while creating unequal opportunities for research and innovation </w:t>
      </w:r>
      <w:r w:rsidRPr="00433E48">
        <w:rPr>
          <w:rFonts w:ascii="Arial" w:hAnsi="Arial" w:cs="Arial"/>
        </w:rPr>
        <w:lastRenderedPageBreak/>
        <w:t>(Wouters et al., 2021). Therefore, GDPR’s effectiveness may be threatened not only by technological developments such as big data, but also by inequalities in implementation across Member States and corresponding consequences, including disparities in medical advancement. Technological approaches such as the Personal Health Train offer an interesting alternative, allowing algorithms to move to data rather than centralising sensitive information  (Wouters et al., 2021). Ultimately, the challenge is determining whether GDPR can achieve consistent and proportionate protection without restricting socially valuable innovation and research.</w:t>
      </w:r>
    </w:p>
    <w:p w14:paraId="46692E8D" w14:textId="6BE6C75B" w:rsidR="00433E48" w:rsidRPr="00433E48" w:rsidRDefault="00433E48" w:rsidP="00433E48">
      <w:pPr>
        <w:spacing w:line="480" w:lineRule="auto"/>
        <w:rPr>
          <w:rFonts w:ascii="Arial" w:hAnsi="Arial" w:cs="Arial"/>
        </w:rPr>
      </w:pPr>
      <w:r w:rsidRPr="00433E48">
        <w:rPr>
          <w:rFonts w:ascii="Arial" w:hAnsi="Arial" w:cs="Arial"/>
        </w:rPr>
        <w:br/>
      </w:r>
      <w:r w:rsidRPr="00433E48">
        <w:rPr>
          <w:rFonts w:ascii="Arial" w:hAnsi="Arial" w:cs="Arial"/>
          <w:b/>
          <w:bCs/>
        </w:rPr>
        <w:t>References</w:t>
      </w:r>
      <w:r w:rsidRPr="00433E48">
        <w:rPr>
          <w:rFonts w:ascii="Arial" w:hAnsi="Arial" w:cs="Arial"/>
        </w:rPr>
        <w:br/>
        <w:t xml:space="preserve">Sirur, S., Nurse, J.R.C. and Webb, H. (2018) ‘Are we there yet? Understanding the challenges faced in complying with the General Data Protection Regulation (GDPR)’, </w:t>
      </w:r>
      <w:r w:rsidRPr="00433E48">
        <w:rPr>
          <w:rFonts w:ascii="Arial" w:hAnsi="Arial" w:cs="Arial"/>
          <w:i/>
          <w:iCs/>
        </w:rPr>
        <w:t>Proceedings of the 2nd International Workshop on Multimedia Privacy and Security,</w:t>
      </w:r>
      <w:r w:rsidRPr="00433E48">
        <w:rPr>
          <w:rFonts w:ascii="Arial" w:hAnsi="Arial" w:cs="Arial"/>
        </w:rPr>
        <w:t> pp. 88–95. Available at: https://doi.org/10.48550/arXiv.1808.07338.</w:t>
      </w:r>
    </w:p>
    <w:p w14:paraId="4C2BC105" w14:textId="77777777" w:rsidR="00433E48" w:rsidRPr="00433E48" w:rsidRDefault="00433E48" w:rsidP="00433E48">
      <w:pPr>
        <w:spacing w:line="480" w:lineRule="auto"/>
        <w:rPr>
          <w:rFonts w:ascii="Arial" w:hAnsi="Arial" w:cs="Arial"/>
        </w:rPr>
      </w:pPr>
      <w:r w:rsidRPr="00433E48">
        <w:rPr>
          <w:rFonts w:ascii="Arial" w:hAnsi="Arial" w:cs="Arial"/>
        </w:rPr>
        <w:t xml:space="preserve">Wouters, B. et al. (2021) ‘Putting the GDPR into practice: Difficulties and uncertainties experienced in the conduct of big data health research’, </w:t>
      </w:r>
      <w:r w:rsidRPr="00433E48">
        <w:rPr>
          <w:rFonts w:ascii="Arial" w:hAnsi="Arial" w:cs="Arial"/>
          <w:i/>
          <w:iCs/>
        </w:rPr>
        <w:t>European Data Protection Law Review</w:t>
      </w:r>
      <w:r w:rsidRPr="00433E48">
        <w:rPr>
          <w:rFonts w:ascii="Arial" w:hAnsi="Arial" w:cs="Arial"/>
        </w:rPr>
        <w:t>, 7(2), pp. 206–216. Available at: https://doi.org/10.21552/edpl/2021/2/9.</w:t>
      </w:r>
    </w:p>
    <w:p w14:paraId="6F90AFD5" w14:textId="77777777" w:rsidR="00433E48" w:rsidRDefault="00433E48"/>
    <w:sectPr w:rsidR="00433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48"/>
    <w:rsid w:val="00027D6E"/>
    <w:rsid w:val="00433E48"/>
    <w:rsid w:val="005D69EC"/>
    <w:rsid w:val="008C43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058D"/>
  <w15:chartTrackingRefBased/>
  <w15:docId w15:val="{D24FB45D-2EEA-4DBF-BA50-4C39D4AB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48"/>
    <w:rPr>
      <w:rFonts w:eastAsiaTheme="majorEastAsia" w:cstheme="majorBidi"/>
      <w:color w:val="272727" w:themeColor="text1" w:themeTint="D8"/>
    </w:rPr>
  </w:style>
  <w:style w:type="paragraph" w:styleId="Title">
    <w:name w:val="Title"/>
    <w:basedOn w:val="Normal"/>
    <w:next w:val="Normal"/>
    <w:link w:val="TitleChar"/>
    <w:uiPriority w:val="10"/>
    <w:qFormat/>
    <w:rsid w:val="0043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48"/>
    <w:pPr>
      <w:spacing w:before="160"/>
      <w:jc w:val="center"/>
    </w:pPr>
    <w:rPr>
      <w:i/>
      <w:iCs/>
      <w:color w:val="404040" w:themeColor="text1" w:themeTint="BF"/>
    </w:rPr>
  </w:style>
  <w:style w:type="character" w:customStyle="1" w:styleId="QuoteChar">
    <w:name w:val="Quote Char"/>
    <w:basedOn w:val="DefaultParagraphFont"/>
    <w:link w:val="Quote"/>
    <w:uiPriority w:val="29"/>
    <w:rsid w:val="00433E48"/>
    <w:rPr>
      <w:i/>
      <w:iCs/>
      <w:color w:val="404040" w:themeColor="text1" w:themeTint="BF"/>
    </w:rPr>
  </w:style>
  <w:style w:type="paragraph" w:styleId="ListParagraph">
    <w:name w:val="List Paragraph"/>
    <w:basedOn w:val="Normal"/>
    <w:uiPriority w:val="34"/>
    <w:qFormat/>
    <w:rsid w:val="00433E48"/>
    <w:pPr>
      <w:ind w:left="720"/>
      <w:contextualSpacing/>
    </w:pPr>
  </w:style>
  <w:style w:type="character" w:styleId="IntenseEmphasis">
    <w:name w:val="Intense Emphasis"/>
    <w:basedOn w:val="DefaultParagraphFont"/>
    <w:uiPriority w:val="21"/>
    <w:qFormat/>
    <w:rsid w:val="00433E48"/>
    <w:rPr>
      <w:i/>
      <w:iCs/>
      <w:color w:val="0F4761" w:themeColor="accent1" w:themeShade="BF"/>
    </w:rPr>
  </w:style>
  <w:style w:type="paragraph" w:styleId="IntenseQuote">
    <w:name w:val="Intense Quote"/>
    <w:basedOn w:val="Normal"/>
    <w:next w:val="Normal"/>
    <w:link w:val="IntenseQuoteChar"/>
    <w:uiPriority w:val="30"/>
    <w:qFormat/>
    <w:rsid w:val="00433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48"/>
    <w:rPr>
      <w:i/>
      <w:iCs/>
      <w:color w:val="0F4761" w:themeColor="accent1" w:themeShade="BF"/>
    </w:rPr>
  </w:style>
  <w:style w:type="character" w:styleId="IntenseReference">
    <w:name w:val="Intense Reference"/>
    <w:basedOn w:val="DefaultParagraphFont"/>
    <w:uiPriority w:val="32"/>
    <w:qFormat/>
    <w:rsid w:val="00433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2</cp:revision>
  <dcterms:created xsi:type="dcterms:W3CDTF">2026-10-12T20:13:00Z</dcterms:created>
  <dcterms:modified xsi:type="dcterms:W3CDTF">2026-10-12T20:18:00Z</dcterms:modified>
</cp:coreProperties>
</file>