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C9DC" w14:textId="6FDA4D5E" w:rsidR="00B413BD" w:rsidRPr="00B413BD" w:rsidRDefault="00B413BD" w:rsidP="00B413BD">
      <w:pPr>
        <w:spacing w:line="480" w:lineRule="auto"/>
        <w:rPr>
          <w:rFonts w:ascii="Arial" w:hAnsi="Arial" w:cs="Arial"/>
          <w:b/>
          <w:bCs/>
        </w:rPr>
      </w:pPr>
      <w:r w:rsidRPr="00B413BD">
        <w:rPr>
          <w:rFonts w:ascii="Arial" w:hAnsi="Arial" w:cs="Arial"/>
          <w:b/>
          <w:bCs/>
        </w:rPr>
        <w:t>Collaborative Discussion 2 – Summary Post</w:t>
      </w:r>
    </w:p>
    <w:p w14:paraId="77173AC2" w14:textId="5136286D" w:rsidR="00B413BD" w:rsidRDefault="00B413BD" w:rsidP="00B413BD">
      <w:pPr>
        <w:spacing w:line="480" w:lineRule="auto"/>
        <w:rPr>
          <w:rFonts w:ascii="Arial" w:hAnsi="Arial" w:cs="Arial"/>
        </w:rPr>
      </w:pPr>
      <w:r w:rsidRPr="00B413BD">
        <w:rPr>
          <w:rFonts w:ascii="Arial" w:hAnsi="Arial" w:cs="Arial"/>
        </w:rPr>
        <w:t>My initial post emphasised security risks associated with pseudonymisation under the General Data Protection Regulation (GDPR). However, collaborative discussion and further research broadened my perspective on combining pseudonymisation with data minimisation and other security measures to strengthen data protection.</w:t>
      </w:r>
    </w:p>
    <w:p w14:paraId="5ABB2CD2" w14:textId="25B9B27E" w:rsidR="00B413BD" w:rsidRPr="00B413BD" w:rsidRDefault="00B413BD" w:rsidP="00B413BD">
      <w:pPr>
        <w:spacing w:line="480" w:lineRule="auto"/>
        <w:rPr>
          <w:rFonts w:ascii="Arial" w:hAnsi="Arial" w:cs="Arial"/>
        </w:rPr>
      </w:pPr>
      <w:r w:rsidRPr="00B413BD">
        <w:rPr>
          <w:rFonts w:ascii="Arial" w:hAnsi="Arial" w:cs="Arial"/>
        </w:rPr>
        <w:t>Barker (2026) highlighted the benefits of robust keyed hashing, secure separation of encryption keys, role-based access controls and testing for linkage attacks. Similarly, Nwankwo (2026) suggested combining data minimisation, encryption and access controls with separating identifiable information from analytical datasets. This challenged me to consider the distinction between pseudonymisation, which replaces identifying information with artificial identifiers, and data minimisation, which limits personal data collected to what is necessary. I now believe combining these approaches provides stronger protection than relying on pseudonymisation alone.</w:t>
      </w:r>
    </w:p>
    <w:p w14:paraId="4FE2CCFC" w14:textId="60015DE5" w:rsidR="00B413BD" w:rsidRPr="00B413BD" w:rsidRDefault="00B413BD" w:rsidP="00B413BD">
      <w:pPr>
        <w:spacing w:line="480" w:lineRule="auto"/>
        <w:rPr>
          <w:rFonts w:ascii="Arial" w:hAnsi="Arial" w:cs="Arial"/>
        </w:rPr>
      </w:pPr>
      <w:r w:rsidRPr="00B413BD">
        <w:rPr>
          <w:rFonts w:ascii="Arial" w:hAnsi="Arial" w:cs="Arial"/>
        </w:rPr>
        <w:t>Furthermore, Alkaabi (2026) highlights how regular risk assessments and Data Protection Impact Assessments (DPIAs) help organisations determine proportionate security measures and address uncertainty surrounding GDPR compliance. The Information Commissioner’s Office (ICO, 2023) supports this approach, explaining that DPIAs help identify and minimise data protection risks, particularly where processing poses a high risk to individuals. Gellert (2018) similarly illustrates the relationship between compliance risks and potential harm to individuals’ rights, reinforcing the importance of continuous risk assessment. This led me to consider how the GDPR may encourage risk-averse behaviour within organisations, as risk assessment offers benefits beyond legal compliance, including strengthening information security and protecting individuals’ rights.</w:t>
      </w:r>
    </w:p>
    <w:p w14:paraId="11D8B45C" w14:textId="77777777" w:rsidR="00B413BD" w:rsidRDefault="00B413BD" w:rsidP="00B413BD">
      <w:pPr>
        <w:spacing w:line="480" w:lineRule="auto"/>
        <w:rPr>
          <w:rFonts w:ascii="Arial" w:hAnsi="Arial" w:cs="Arial"/>
        </w:rPr>
      </w:pPr>
      <w:r w:rsidRPr="00B413BD">
        <w:rPr>
          <w:rFonts w:ascii="Arial" w:hAnsi="Arial" w:cs="Arial"/>
        </w:rPr>
        <w:lastRenderedPageBreak/>
        <w:t xml:space="preserve">Finally, Barker’s (2026) discussion prompted me to reconsider regulatory enforcement effectiveness, particularly regarding developments in the ICO’s penalties against British Airways and Marriott. </w:t>
      </w:r>
      <w:proofErr w:type="spellStart"/>
      <w:r w:rsidRPr="00B413BD">
        <w:rPr>
          <w:rFonts w:ascii="Arial" w:hAnsi="Arial" w:cs="Arial"/>
        </w:rPr>
        <w:t>Edros</w:t>
      </w:r>
      <w:proofErr w:type="spellEnd"/>
      <w:r w:rsidRPr="00B413BD">
        <w:rPr>
          <w:rFonts w:ascii="Arial" w:hAnsi="Arial" w:cs="Arial"/>
        </w:rPr>
        <w:t xml:space="preserve"> (2025) presents a mixed picture of the ICO’s enforcement record, suggesting regulatory intervention is not always clear-cut. This led me to question whether financial penalties consistently deter non-compliance and why enforcement outcomes vary between organisations, highlighting the need for further investigation. Overall, this collaborative discussion strengthened my understanding that effective data protection requires complementary safeguards, ongoing risk assessments and regulatory accountability.</w:t>
      </w:r>
    </w:p>
    <w:p w14:paraId="60213E1D" w14:textId="77777777" w:rsidR="00B413BD" w:rsidRPr="00B413BD" w:rsidRDefault="00B413BD" w:rsidP="00B413BD">
      <w:pPr>
        <w:spacing w:line="480" w:lineRule="auto"/>
        <w:rPr>
          <w:rFonts w:ascii="Arial" w:hAnsi="Arial" w:cs="Arial"/>
        </w:rPr>
      </w:pPr>
    </w:p>
    <w:p w14:paraId="418BE9BD" w14:textId="77777777" w:rsidR="00B413BD" w:rsidRPr="00B413BD" w:rsidRDefault="00B413BD" w:rsidP="00B413BD">
      <w:pPr>
        <w:spacing w:line="480" w:lineRule="auto"/>
        <w:rPr>
          <w:rFonts w:ascii="Arial" w:hAnsi="Arial" w:cs="Arial"/>
          <w:b/>
          <w:bCs/>
        </w:rPr>
      </w:pPr>
      <w:r w:rsidRPr="00B413BD">
        <w:rPr>
          <w:rFonts w:ascii="Arial" w:hAnsi="Arial" w:cs="Arial"/>
          <w:b/>
          <w:bCs/>
        </w:rPr>
        <w:t>References</w:t>
      </w:r>
    </w:p>
    <w:p w14:paraId="2F92D9F8" w14:textId="77777777" w:rsidR="00B413BD" w:rsidRPr="00B413BD" w:rsidRDefault="00B413BD" w:rsidP="00B413BD">
      <w:pPr>
        <w:spacing w:line="480" w:lineRule="auto"/>
        <w:rPr>
          <w:rFonts w:ascii="Arial" w:hAnsi="Arial" w:cs="Arial"/>
        </w:rPr>
      </w:pPr>
      <w:r w:rsidRPr="00B413BD">
        <w:rPr>
          <w:rFonts w:ascii="Arial" w:hAnsi="Arial" w:cs="Arial"/>
        </w:rPr>
        <w:t>Alkaabi, M. (2026) Re: Initial Post. Forum post submitted to the University of Essex Online. Available at https://www.my-course.co.uk/mod/forum/discuss.php?d=389949#p795559 (Accessed on 01 October 2026).</w:t>
      </w:r>
    </w:p>
    <w:p w14:paraId="2FC0BE8F" w14:textId="77777777" w:rsidR="00B413BD" w:rsidRPr="00B413BD" w:rsidRDefault="00B413BD" w:rsidP="00B413BD">
      <w:pPr>
        <w:spacing w:line="480" w:lineRule="auto"/>
        <w:rPr>
          <w:rFonts w:ascii="Arial" w:hAnsi="Arial" w:cs="Arial"/>
        </w:rPr>
      </w:pPr>
      <w:r w:rsidRPr="00B413BD">
        <w:rPr>
          <w:rFonts w:ascii="Arial" w:hAnsi="Arial" w:cs="Arial"/>
        </w:rPr>
        <w:t>Barker, R. (2026) Re: Initial Post. Forum post submitted to the University of Essex Online. Available at https://www.my-course.co.uk/mod/forum/discuss.php?d=389949#p798657 (Accessed on 01 October 2026).</w:t>
      </w:r>
    </w:p>
    <w:p w14:paraId="105B4806" w14:textId="77777777" w:rsidR="00B413BD" w:rsidRPr="00B413BD" w:rsidRDefault="00B413BD" w:rsidP="00B413BD">
      <w:pPr>
        <w:spacing w:line="480" w:lineRule="auto"/>
        <w:rPr>
          <w:rFonts w:ascii="Arial" w:hAnsi="Arial" w:cs="Arial"/>
        </w:rPr>
      </w:pPr>
      <w:r w:rsidRPr="00B413BD">
        <w:rPr>
          <w:rFonts w:ascii="Arial" w:hAnsi="Arial" w:cs="Arial"/>
        </w:rPr>
        <w:t xml:space="preserve">Erdos, D. (2025) ‘The UK Information Commissioner’s Annual Report 2024/25: Surveying a systematic trend away from adequate enforcement’, </w:t>
      </w:r>
      <w:r w:rsidRPr="00B413BD">
        <w:rPr>
          <w:rFonts w:ascii="Arial" w:hAnsi="Arial" w:cs="Arial"/>
          <w:i/>
          <w:iCs/>
        </w:rPr>
        <w:t>UK Constitutional Law Association</w:t>
      </w:r>
      <w:r w:rsidRPr="00B413BD">
        <w:rPr>
          <w:rFonts w:ascii="Arial" w:hAnsi="Arial" w:cs="Arial"/>
        </w:rPr>
        <w:t>. Available at: https://ukconstitutionallaw.org/2025/07/22/david-erdos-the-uk-information-commissioners-annual-report-2024-25-surveying-a-systematic-trend-away-from-adequate-enforcement/ (Accessed: 02 October 2026).</w:t>
      </w:r>
    </w:p>
    <w:p w14:paraId="18E6BA04" w14:textId="77777777" w:rsidR="00B413BD" w:rsidRPr="00B413BD" w:rsidRDefault="00B413BD" w:rsidP="00B413BD">
      <w:pPr>
        <w:spacing w:line="480" w:lineRule="auto"/>
        <w:rPr>
          <w:rFonts w:ascii="Arial" w:hAnsi="Arial" w:cs="Arial"/>
        </w:rPr>
      </w:pPr>
      <w:r w:rsidRPr="00B413BD">
        <w:rPr>
          <w:rFonts w:ascii="Arial" w:hAnsi="Arial" w:cs="Arial"/>
        </w:rPr>
        <w:lastRenderedPageBreak/>
        <w:t xml:space="preserve">Gellert, R. (2018) ‘Understanding the notion of risk in the General Data Protection Regulation’, </w:t>
      </w:r>
      <w:r w:rsidRPr="00B413BD">
        <w:rPr>
          <w:rFonts w:ascii="Arial" w:hAnsi="Arial" w:cs="Arial"/>
          <w:i/>
          <w:iCs/>
        </w:rPr>
        <w:t>Computer Law &amp; Security Review</w:t>
      </w:r>
      <w:r w:rsidRPr="00B413BD">
        <w:rPr>
          <w:rFonts w:ascii="Arial" w:hAnsi="Arial" w:cs="Arial"/>
        </w:rPr>
        <w:t>, 34(2), pp.279-288. Available at: https://doi.10.1016/j.clsr.2017.12.003.</w:t>
      </w:r>
    </w:p>
    <w:p w14:paraId="667AE8E4" w14:textId="77777777" w:rsidR="00B413BD" w:rsidRPr="00B413BD" w:rsidRDefault="00B413BD" w:rsidP="00B413BD">
      <w:pPr>
        <w:spacing w:line="480" w:lineRule="auto"/>
        <w:rPr>
          <w:rFonts w:ascii="Arial" w:hAnsi="Arial" w:cs="Arial"/>
        </w:rPr>
      </w:pPr>
      <w:r w:rsidRPr="00B413BD">
        <w:rPr>
          <w:rFonts w:ascii="Arial" w:hAnsi="Arial" w:cs="Arial"/>
        </w:rPr>
        <w:t>Information Commissioner's Office (ICO). (2023) Data protection impact assessments. Available at: https://ico.org.uk/for-organisations/uk-gdpr-guidance-and-resources/accountability-and-governance/guide-to-accountability-and-governance/data-protection-impact-assessments/ (Accessed: 02 October 2026).</w:t>
      </w:r>
    </w:p>
    <w:p w14:paraId="144570EF" w14:textId="77777777" w:rsidR="00B413BD" w:rsidRPr="00B413BD" w:rsidRDefault="00B413BD" w:rsidP="00B413BD">
      <w:pPr>
        <w:spacing w:line="480" w:lineRule="auto"/>
        <w:rPr>
          <w:rFonts w:ascii="Arial" w:hAnsi="Arial" w:cs="Arial"/>
        </w:rPr>
      </w:pPr>
      <w:r w:rsidRPr="00B413BD">
        <w:rPr>
          <w:rFonts w:ascii="Arial" w:hAnsi="Arial" w:cs="Arial"/>
        </w:rPr>
        <w:t>Nwanko, C. (2026) Re: Initial Post. Forum post submitted to the University of Essex Online. Available at https://www.my-course.co.uk/mod/forum/discuss.php?d=389949#p795218 (Accessed on 01 October 2026).</w:t>
      </w:r>
    </w:p>
    <w:p w14:paraId="19168E66" w14:textId="77777777" w:rsidR="00B413BD" w:rsidRPr="00B413BD" w:rsidRDefault="00B413BD">
      <w:pPr>
        <w:rPr>
          <w:rFonts w:ascii="Arial" w:hAnsi="Arial" w:cs="Arial"/>
          <w:b/>
          <w:bCs/>
        </w:rPr>
      </w:pPr>
    </w:p>
    <w:sectPr w:rsidR="00B413BD" w:rsidRPr="00B41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BD"/>
    <w:rsid w:val="00B413BD"/>
    <w:rsid w:val="00DA16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0BF2"/>
  <w15:chartTrackingRefBased/>
  <w15:docId w15:val="{CD9E4DE9-7163-46B2-9104-4C872C80D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BD"/>
    <w:rPr>
      <w:rFonts w:eastAsiaTheme="majorEastAsia" w:cstheme="majorBidi"/>
      <w:color w:val="272727" w:themeColor="text1" w:themeTint="D8"/>
    </w:rPr>
  </w:style>
  <w:style w:type="paragraph" w:styleId="Title">
    <w:name w:val="Title"/>
    <w:basedOn w:val="Normal"/>
    <w:next w:val="Normal"/>
    <w:link w:val="TitleChar"/>
    <w:uiPriority w:val="10"/>
    <w:qFormat/>
    <w:rsid w:val="00B41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BD"/>
    <w:pPr>
      <w:spacing w:before="160"/>
      <w:jc w:val="center"/>
    </w:pPr>
    <w:rPr>
      <w:i/>
      <w:iCs/>
      <w:color w:val="404040" w:themeColor="text1" w:themeTint="BF"/>
    </w:rPr>
  </w:style>
  <w:style w:type="character" w:customStyle="1" w:styleId="QuoteChar">
    <w:name w:val="Quote Char"/>
    <w:basedOn w:val="DefaultParagraphFont"/>
    <w:link w:val="Quote"/>
    <w:uiPriority w:val="29"/>
    <w:rsid w:val="00B413BD"/>
    <w:rPr>
      <w:i/>
      <w:iCs/>
      <w:color w:val="404040" w:themeColor="text1" w:themeTint="BF"/>
    </w:rPr>
  </w:style>
  <w:style w:type="paragraph" w:styleId="ListParagraph">
    <w:name w:val="List Paragraph"/>
    <w:basedOn w:val="Normal"/>
    <w:uiPriority w:val="34"/>
    <w:qFormat/>
    <w:rsid w:val="00B413BD"/>
    <w:pPr>
      <w:ind w:left="720"/>
      <w:contextualSpacing/>
    </w:pPr>
  </w:style>
  <w:style w:type="character" w:styleId="IntenseEmphasis">
    <w:name w:val="Intense Emphasis"/>
    <w:basedOn w:val="DefaultParagraphFont"/>
    <w:uiPriority w:val="21"/>
    <w:qFormat/>
    <w:rsid w:val="00B413BD"/>
    <w:rPr>
      <w:i/>
      <w:iCs/>
      <w:color w:val="0F4761" w:themeColor="accent1" w:themeShade="BF"/>
    </w:rPr>
  </w:style>
  <w:style w:type="paragraph" w:styleId="IntenseQuote">
    <w:name w:val="Intense Quote"/>
    <w:basedOn w:val="Normal"/>
    <w:next w:val="Normal"/>
    <w:link w:val="IntenseQuoteChar"/>
    <w:uiPriority w:val="30"/>
    <w:qFormat/>
    <w:rsid w:val="00B41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3BD"/>
    <w:rPr>
      <w:i/>
      <w:iCs/>
      <w:color w:val="0F4761" w:themeColor="accent1" w:themeShade="BF"/>
    </w:rPr>
  </w:style>
  <w:style w:type="character" w:styleId="IntenseReference">
    <w:name w:val="Intense Reference"/>
    <w:basedOn w:val="DefaultParagraphFont"/>
    <w:uiPriority w:val="32"/>
    <w:qFormat/>
    <w:rsid w:val="00B413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1</cp:revision>
  <dcterms:created xsi:type="dcterms:W3CDTF">2026-10-12T20:15:00Z</dcterms:created>
  <dcterms:modified xsi:type="dcterms:W3CDTF">2026-10-12T20:17:00Z</dcterms:modified>
</cp:coreProperties>
</file>