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railflow in other projects: worked examples</w:t>
      </w:r>
    </w:p>
    <w:p>
      <w:pPr>
        <w:pStyle w:val="FirstParagraph"/>
      </w:pPr>
      <w:r>
        <w:t xml:space="preserve">Prepared by Dr Rawle Prince · 25 October 2026 · railflow 0.1.0, base year ORR 2024-25 · Model description:</w:t>
      </w:r>
      <w:r>
        <w:t xml:space="preserve"> </w:t>
      </w:r>
      <w:hyperlink r:id="rId20">
        <w:r>
          <w:rPr>
            <w:rStyle w:val="Hyperlink"/>
          </w:rPr>
          <w:t xml:space="preserve">technical_document.html</w:t>
        </w:r>
      </w:hyperlink>
      <w:r>
        <w:t xml:space="preserve"> </w:t>
      </w:r>
      <w:r>
        <w:t xml:space="preserve">· Code:</w:t>
      </w:r>
      <w:r>
        <w:t xml:space="preserve"> </w:t>
      </w:r>
      <w:r>
        <w:rPr>
          <w:rStyle w:val="VerbatimChar"/>
        </w:rPr>
        <w:t xml:space="preserve">examples/</w:t>
      </w:r>
    </w:p>
    <w:p>
      <w:pPr>
        <w:pStyle w:val="BodyText"/>
      </w:pPr>
      <w:r>
        <w:t xml:space="preserve">Three current AIIA projects work with rail flows but have no measure of how many passengers each flow, station or route carries. This page shows, with runnable examples on the current model, what railflow adds to each of them: the Split Ticket Calculator, the Flow Classification model and the T3 &amp; Cancellation prediction work. The SWR Service Recovery project, the model's first user, has its own report.</w:t>
      </w:r>
    </w:p>
    <w:bookmarkStart w:id="21" w:name="summary"/>
    <w:p>
      <w:pPr>
        <w:pStyle w:val="Heading3"/>
      </w:pPr>
      <w:r>
        <w:t xml:space="preserve">Summary</w:t>
      </w:r>
    </w:p>
    <w:p>
      <w:pPr>
        <w:numPr>
          <w:ilvl w:val="0"/>
          <w:numId w:val="1001"/>
        </w:numPr>
        <w:pStyle w:val="Compact"/>
      </w:pPr>
      <w:r>
        <w:rPr>
          <w:bCs/>
          <w:b/>
        </w:rPr>
        <w:t xml:space="preserve">Split Ticket Calculator:</w:t>
      </w:r>
      <w:r>
        <w:t xml:space="preserve"> </w:t>
      </w:r>
      <w:r>
        <w:t xml:space="preserve">demand turns savings into revenue at risk. Weymouth–Melksham saves £121.70 per journey and carries about 349 journeys a year (upper bound £42k). Aldermaston–Betchworth carries almost none. Didcot Parkway and Swindon have far more journeys passing through than Pewsey, the STC's top split point.</w:t>
      </w:r>
    </w:p>
    <w:p>
      <w:pPr>
        <w:numPr>
          <w:ilvl w:val="0"/>
          <w:numId w:val="1001"/>
        </w:numPr>
        <w:pStyle w:val="Compact"/>
      </w:pPr>
      <w:r>
        <w:rPr>
          <w:bCs/>
          <w:b/>
        </w:rPr>
        <w:t xml:space="preserve">Flow Classification:</w:t>
      </w:r>
      <w:r>
        <w:t xml:space="preserve"> </w:t>
      </w:r>
      <w:r>
        <w:t xml:space="preserve">railflow fills missing mileages with network distance for every flow and adds modelled journeys. Weighting by journeys changes the picture: one cluster holds 23% of flows but 90% of journeys.</w:t>
      </w:r>
    </w:p>
    <w:p>
      <w:pPr>
        <w:numPr>
          <w:ilvl w:val="0"/>
          <w:numId w:val="1001"/>
        </w:numPr>
        <w:pStyle w:val="Compact"/>
      </w:pPr>
      <w:r>
        <w:rPr>
          <w:bCs/>
          <w:b/>
        </w:rPr>
        <w:t xml:space="preserve">T3 &amp; Cancellation:</w:t>
      </w:r>
      <w:r>
        <w:t xml:space="preserve"> </w:t>
      </w:r>
      <w:r>
        <w:t xml:space="preserve">passenger-km weights by region and line for passenger-weighted performance targets and model training. London carries 24% of passenger-km on 8% of track; Scotland 7% on 13%.</w:t>
      </w:r>
    </w:p>
    <w:bookmarkEnd w:id="21"/>
    <w:bookmarkStart w:id="22" w:name="how"/>
    <w:p>
      <w:pPr>
        <w:pStyle w:val="Heading2"/>
      </w:pPr>
      <w:r>
        <w:t xml:space="preserve">How projects use railflow</w:t>
      </w:r>
    </w:p>
    <w:p>
      <w:pPr>
        <w:pStyle w:val="FirstParagraph"/>
      </w:pPr>
      <w:r>
        <w:t xml:space="preserve">A project reads a model run through the read-only interface and keeps its own code and data in its own repository:</w:t>
      </w:r>
    </w:p>
    <w:p>
      <w:pPr>
        <w:pStyle w:val="BodyText"/>
      </w:pPr>
      <w:r>
        <w:t xml:space="preserve">from railflow.api import RailFlow</w:t>
      </w:r>
      <w:r>
        <w:t xml:space="preserve"> </w:t>
      </w:r>
      <w:r>
        <w:t xml:space="preserve">rf = RailFlow("path/to/railflow/outputs")</w:t>
      </w:r>
      <w:r>
        <w:t xml:space="preserve"> </w:t>
      </w:r>
      <w:r>
        <w:t xml:space="preserve">T = rf.matrix("B", "ann") # station x station journeys a year (Model B)</w:t>
      </w:r>
      <w:r>
        <w:t xml:space="preserve"> </w:t>
      </w:r>
      <w:r>
        <w:t xml:space="preserve">rf.passing_through("PEW") # OD pairs routed via Pewsey, with weekday trips</w:t>
      </w:r>
      <w:r>
        <w:t xml:space="preserve"> </w:t>
      </w:r>
      <w:r>
        <w:t xml:space="preserve">rf.route_stations("WEY", "MKM") # stations on the modelled route</w:t>
      </w:r>
      <w:r>
        <w:t xml:space="preserve"> </w:t>
      </w:r>
      <w:r>
        <w:t xml:space="preserve">rf.screenline("VXH", "WAT") # corridor flow between two stations</w:t>
      </w:r>
      <w:r>
        <w:t xml:space="preserve"> </w:t>
      </w:r>
      <w:r>
        <w:t xml:space="preserve">print(rf.metadata["version"]) # record next to project results</w:t>
      </w:r>
    </w:p>
    <w:p>
      <w:pPr>
        <w:pStyle w:val="BodyText"/>
      </w:pPr>
      <w:r>
        <w:t xml:space="preserve">Each example below is a single script in</w:t>
      </w:r>
      <w:r>
        <w:t xml:space="preserve"> </w:t>
      </w:r>
      <w:r>
        <w:rPr>
          <w:rStyle w:val="VerbatimChar"/>
        </w:rPr>
        <w:t xml:space="preserve">examples/</w:t>
      </w:r>
      <w:r>
        <w:t xml:space="preserve"> </w:t>
      </w:r>
      <w:r>
        <w:t xml:space="preserve">that runs in under a minute on a completed model run and writes CSV files and a figure to its own</w:t>
      </w:r>
      <w:r>
        <w:t xml:space="preserve"> </w:t>
      </w:r>
      <w:r>
        <w:rPr>
          <w:rStyle w:val="VerbatimChar"/>
        </w:rPr>
        <w:t xml:space="preserve">outputs/</w:t>
      </w:r>
      <w:r>
        <w:t xml:space="preserve"> </w:t>
      </w:r>
      <w:r>
        <w:t xml:space="preserve">folder. Station pairs are keyed by CRS code; NLC codes are in</w:t>
      </w:r>
      <w:r>
        <w:t xml:space="preserve"> </w:t>
      </w:r>
      <w:r>
        <w:rPr>
          <w:rStyle w:val="VerbatimChar"/>
        </w:rPr>
        <w:t xml:space="preserve">rf.stations.nlc</w:t>
      </w:r>
      <w:r>
        <w:t xml:space="preserve"> </w:t>
      </w:r>
      <w:r>
        <w:t xml:space="preserve">for joining to PMS or LENNON extracts.</w:t>
      </w:r>
    </w:p>
    <w:p>
      <w:pPr>
        <w:pStyle w:val="BodyText"/>
      </w:pPr>
      <w:r>
        <w:rPr>
          <w:bCs/>
          <w:b/>
        </w:rPr>
        <w:t xml:space="preserve">How much to trust the numbers.</w:t>
      </w:r>
      <w:r>
        <w:t xml:space="preserve"> </w:t>
      </w:r>
      <w:r>
        <w:t xml:space="preserve">Station-pair journeys are Model B estimates. For the 2,540 flows ORR publishes and for local-authority totals they match the data; for small and unpublished flows they are gravity-model infill and should be read as an order of magnitude. Route-level and regional totals are more reliable than any single small flow. See the validation section of the technical document.</w:t>
      </w:r>
    </w:p>
    <w:bookmarkEnd w:id="22"/>
    <w:bookmarkStart w:id="30" w:name="split"/>
    <w:p>
      <w:pPr>
        <w:pStyle w:val="Heading2"/>
      </w:pPr>
      <w:r>
        <w:t xml:space="preserve">Split Ticket Calculator</w:t>
      </w:r>
    </w:p>
    <w:bookmarkStart w:id="23" w:name="the-project"/>
    <w:p>
      <w:pPr>
        <w:pStyle w:val="Heading3"/>
      </w:pPr>
      <w:r>
        <w:t xml:space="preserve">The project</w:t>
      </w:r>
    </w:p>
    <w:p>
      <w:pPr>
        <w:pStyle w:val="FirstParagraph"/>
      </w:pPr>
      <w:r>
        <w:t xml:space="preserve">The Split Ticket Calculator (STC) finds split-ticketing opportunities (STOs) in a price structure: for each origin–destination flow in the PMS data, it resolves the route with the network graph and Darwin services, tests feasible split stations where trains call, and reports the cheapest combination of tickets. It is being used for GWR fares work on Anytime Day Singles and Advance Singles. Its outputs rank opportunities by saving per journey. They do not say how many people travel on each flow, so a large saving on a flow nobody uses ranks the same as one on a busy flow.</w:t>
      </w:r>
    </w:p>
    <w:bookmarkEnd w:id="23"/>
    <w:bookmarkStart w:id="24" w:name="what-railflow-adds"/>
    <w:p>
      <w:pPr>
        <w:pStyle w:val="Heading3"/>
      </w:pPr>
      <w:r>
        <w:t xml:space="preserve">What railflow adds</w:t>
      </w:r>
    </w:p>
    <w:p>
      <w:pPr>
        <w:numPr>
          <w:ilvl w:val="0"/>
          <w:numId w:val="1002"/>
        </w:numPr>
        <w:pStyle w:val="Compact"/>
      </w:pPr>
      <w:r>
        <w:rPr>
          <w:bCs/>
          <w:b/>
        </w:rPr>
        <w:t xml:space="preserve">Demand on every flow.</w:t>
      </w:r>
      <w:r>
        <w:t xml:space="preserve"> </w:t>
      </w:r>
      <w:r>
        <w:t xml:space="preserve">Annual journeys × saving gives an upper bound on revenue at risk if every traveller split their ticket. That ranks STOs by what they could cost, not by saving alone.</w:t>
      </w:r>
      <w:r>
        <w:t xml:space="preserve"> </w:t>
      </w:r>
      <w:r>
        <w:rPr>
          <w:rStyle w:val="VerbatimChar"/>
        </w:rPr>
        <w:t xml:space="preserve">--stc summary_results.csv</w:t>
      </w:r>
      <w:r>
        <w:t xml:space="preserve"> </w:t>
      </w:r>
      <w:r>
        <w:t xml:space="preserve">joins the STC's primary output by origin and destination and writes the ranked list.</w:t>
      </w:r>
    </w:p>
    <w:p>
      <w:pPr>
        <w:numPr>
          <w:ilvl w:val="0"/>
          <w:numId w:val="1002"/>
        </w:numPr>
        <w:pStyle w:val="Compact"/>
      </w:pPr>
      <w:r>
        <w:rPr>
          <w:bCs/>
          <w:b/>
        </w:rPr>
        <w:t xml:space="preserve">Journeys passing through each split station.</w:t>
      </w:r>
      <w:r>
        <w:t xml:space="preserve"> </w:t>
      </w:r>
      <w:r>
        <w:t xml:space="preserve">Every OD pair whose modelled route passes a station, with weekday and annual journeys. A station that is both a common split point and carries many through journeys is where split ticketing can cost most.</w:t>
      </w:r>
    </w:p>
    <w:p>
      <w:pPr>
        <w:numPr>
          <w:ilvl w:val="0"/>
          <w:numId w:val="1002"/>
        </w:numPr>
        <w:pStyle w:val="Compact"/>
      </w:pPr>
      <w:r>
        <w:rPr>
          <w:bCs/>
          <w:b/>
        </w:rPr>
        <w:t xml:space="preserve">A route check.</w:t>
      </w:r>
      <w:r>
        <w:t xml:space="preserve"> </w:t>
      </w:r>
      <w:r>
        <w:t xml:space="preserve">The modelled route and its stations can be compared with the STC's route.</w:t>
      </w:r>
    </w:p>
    <w:bookmarkEnd w:id="24"/>
    <w:bookmarkStart w:id="28" w:name="results"/>
    <w:p>
      <w:pPr>
        <w:pStyle w:val="Heading3"/>
      </w:pPr>
      <w:r>
        <w:t xml:space="preserve">Results</w:t>
      </w:r>
    </w:p>
    <w:p>
      <w:pPr>
        <w:pStyle w:val="FirstParagraph"/>
      </w:pPr>
      <w:r>
        <w:t xml:space="preserve">The STC's worked examples with modelled demand (both directions).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STC example</w:t>
            </w:r>
          </w:p>
        </w:tc>
        <w:tc>
          <w:tcPr/>
          <w:p>
            <w:pPr>
              <w:pStyle w:val="Compact"/>
              <w:jc w:val="left"/>
            </w:pPr>
            <w:r>
              <w:t xml:space="preserve">Saving per journey</w:t>
            </w:r>
          </w:p>
        </w:tc>
        <w:tc>
          <w:tcPr/>
          <w:p>
            <w:pPr>
              <w:pStyle w:val="Compact"/>
              <w:jc w:val="left"/>
            </w:pPr>
            <w:r>
              <w:t xml:space="preserve">Journeys a year (Model B)</w:t>
            </w:r>
          </w:p>
        </w:tc>
        <w:tc>
          <w:tcPr/>
          <w:p>
            <w:pPr>
              <w:pStyle w:val="Compact"/>
              <w:jc w:val="left"/>
            </w:pPr>
            <w:r>
              <w:t xml:space="preserve">Upper-bound revenue at risk</w:t>
            </w:r>
          </w:p>
        </w:tc>
        <w:tc>
          <w:tcPr/>
          <w:p>
            <w:pPr>
              <w:pStyle w:val="Compact"/>
              <w:jc w:val="left"/>
            </w:pPr>
            <w:r>
              <w:t xml:space="preserve">Split station on modelled route</w:t>
            </w:r>
          </w:p>
        </w:tc>
        <w:tc>
          <w:tcPr/>
          <w:p>
            <w:pPr>
              <w:pStyle w:val="Compact"/>
              <w:jc w:val="left"/>
            </w:pPr>
            <w:r>
              <w:t xml:space="preserve">Route km</w:t>
            </w:r>
          </w:p>
        </w:tc>
      </w:tr>
      <w:tr>
        <w:tc>
          <w:tcPr/>
          <w:p>
            <w:pPr>
              <w:pStyle w:val="Compact"/>
              <w:jc w:val="left"/>
            </w:pPr>
            <w:r>
              <w:t xml:space="preserve">Weymouth–Melksham via Maiden Newton</w:t>
            </w:r>
          </w:p>
        </w:tc>
        <w:tc>
          <w:tcPr/>
          <w:p>
            <w:pPr>
              <w:pStyle w:val="Compact"/>
              <w:jc w:val="left"/>
            </w:pPr>
            <w:r>
              <w:t xml:space="preserve">£121.70</w:t>
            </w:r>
          </w:p>
        </w:tc>
        <w:tc>
          <w:tcPr/>
          <w:p>
            <w:pPr>
              <w:pStyle w:val="Compact"/>
              <w:jc w:val="left"/>
            </w:pPr>
            <w:r>
              <w:t xml:space="preserve">349</w:t>
            </w:r>
          </w:p>
        </w:tc>
        <w:tc>
          <w:tcPr/>
          <w:p>
            <w:pPr>
              <w:pStyle w:val="Compact"/>
              <w:jc w:val="left"/>
            </w:pPr>
            <w:r>
              <w:t xml:space="preserve">£42,417</w:t>
            </w:r>
          </w:p>
        </w:tc>
        <w:tc>
          <w:tcPr/>
          <w:p>
            <w:pPr>
              <w:pStyle w:val="Compact"/>
              <w:jc w:val="left"/>
            </w:pPr>
            <w:r>
              <w:t xml:space="preserve">Yes</w:t>
            </w:r>
          </w:p>
        </w:tc>
        <w:tc>
          <w:tcPr/>
          <w:p>
            <w:pPr>
              <w:pStyle w:val="Compact"/>
              <w:jc w:val="left"/>
            </w:pPr>
            <w:r>
              <w:t xml:space="preserve">109.8</w:t>
            </w:r>
          </w:p>
        </w:tc>
      </w:tr>
      <w:tr>
        <w:tc>
          <w:tcPr/>
          <w:p>
            <w:pPr>
              <w:pStyle w:val="Compact"/>
              <w:jc w:val="left"/>
            </w:pPr>
            <w:r>
              <w:t xml:space="preserve">Aldermaston–Betchworth via Crowthorne</w:t>
            </w:r>
          </w:p>
        </w:tc>
        <w:tc>
          <w:tcPr/>
          <w:p>
            <w:pPr>
              <w:pStyle w:val="Compact"/>
              <w:jc w:val="left"/>
            </w:pPr>
            <w:r>
              <w:t xml:space="preserve">£2.80</w:t>
            </w:r>
          </w:p>
        </w:tc>
        <w:tc>
          <w:tcPr/>
          <w:p>
            <w:pPr>
              <w:pStyle w:val="Compact"/>
              <w:jc w:val="left"/>
            </w:pPr>
            <w:r>
              <w:t xml:space="preserve">0.1</w:t>
            </w:r>
          </w:p>
        </w:tc>
        <w:tc>
          <w:tcPr/>
          <w:p>
            <w:pPr>
              <w:pStyle w:val="Compact"/>
              <w:jc w:val="left"/>
            </w:pPr>
            <w:r>
              <w:t xml:space="preserve">£0.32</w:t>
            </w:r>
          </w:p>
        </w:tc>
        <w:tc>
          <w:tcPr/>
          <w:p>
            <w:pPr>
              <w:pStyle w:val="Compact"/>
              <w:jc w:val="left"/>
            </w:pPr>
            <w:r>
              <w:t xml:space="preserve">Yes</w:t>
            </w:r>
          </w:p>
        </w:tc>
        <w:tc>
          <w:tcPr/>
          <w:p>
            <w:pPr>
              <w:pStyle w:val="Compact"/>
              <w:jc w:val="left"/>
            </w:pPr>
            <w:r>
              <w:t xml:space="preserve">81.3</w:t>
            </w:r>
          </w:p>
        </w:tc>
      </w:tr>
    </w:tbl>
    <w:p>
      <w:pPr>
        <w:pStyle w:val="BodyText"/>
      </w:pPr>
      <w:r>
        <w:t xml:space="preserve">The STC's two worked examples are very different once demand is attached. Weymouth–Melksham has a large saving and a modest but real flow, so it could be worth tens of thousands of pounds a year if every traveller split. Aldermaston–Betchworth has a small saving and almost no demand. The modelled Weymouth–Melksham route is 109.8 km, against 109.9 km from the STC's segment mileages (14.54 + 53.72 miles), and it passes Maiden Newton, the STC's split point.</w:t>
      </w:r>
    </w:p>
    <w:p>
      <w:pPr>
        <w:pStyle w:val="CaptionedFigure"/>
      </w:pPr>
      <w:r>
        <w:drawing>
          <wp:inline>
            <wp:extent cx="6286500" cy="4358640"/>
            <wp:effectExtent b="0" l="0" r="0" t="0"/>
            <wp:docPr descr="Bar chart of journeys passing through and using each candidate split station" title="" id="26" name="Picture"/>
            <a:graphic>
              <a:graphicData uri="http://schemas.openxmlformats.org/drawingml/2006/picture">
                <pic:pic>
                  <pic:nvPicPr>
                    <pic:cNvPr descr="figures/split_station_through_journeys.png" id="27" name="Picture"/>
                    <pic:cNvPicPr>
                      <a:picLocks noChangeArrowheads="1" noChangeAspect="1"/>
                    </pic:cNvPicPr>
                  </pic:nvPicPr>
                  <pic:blipFill>
                    <a:blip r:embed="rId25"/>
                    <a:stretch>
                      <a:fillRect/>
                    </a:stretch>
                  </pic:blipFill>
                  <pic:spPr bwMode="auto">
                    <a:xfrm>
                      <a:off x="0" y="0"/>
                      <a:ext cx="6286500" cy="4358640"/>
                    </a:xfrm>
                    <a:prstGeom prst="rect">
                      <a:avLst/>
                    </a:prstGeom>
                    <a:noFill/>
                    <a:ln w="9525">
                      <a:noFill/>
                      <a:headEnd/>
                      <a:tailEnd/>
                    </a:ln>
                  </pic:spPr>
                </pic:pic>
              </a:graphicData>
            </a:graphic>
          </wp:inline>
        </w:drawing>
      </w:r>
    </w:p>
    <w:p>
      <w:pPr>
        <w:pStyle w:val="ImageCaption"/>
      </w:pPr>
      <w:r>
        <w:t xml:space="preserve">Candidate split stations on GWR routes in the STC analysis: journeys a year whose modelled route passes the station (blue) and the station's own entries and exits (orange). Frome shows no through journeys because the shortest track path bypasses the Frome loop; in the timetable many trains call there.</w:t>
      </w:r>
    </w:p>
    <w:p>
      <w:pPr>
        <w:pStyle w:val="BodyText"/>
      </w:pPr>
      <w:r>
        <w:t xml:space="preserve">Candidate split stations, ranked by journeys passing through.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Station</w:t>
            </w:r>
          </w:p>
        </w:tc>
        <w:tc>
          <w:tcPr/>
          <w:p>
            <w:pPr>
              <w:pStyle w:val="Compact"/>
              <w:jc w:val="left"/>
            </w:pPr>
            <w:r>
              <w:t xml:space="preserve">CRS</w:t>
            </w:r>
          </w:p>
        </w:tc>
        <w:tc>
          <w:tcPr/>
          <w:p>
            <w:pPr>
              <w:pStyle w:val="Compact"/>
              <w:jc w:val="left"/>
            </w:pPr>
            <w:r>
              <w:t xml:space="preserve">OD pairs routed through</w:t>
            </w:r>
          </w:p>
        </w:tc>
        <w:tc>
          <w:tcPr/>
          <w:p>
            <w:pPr>
              <w:pStyle w:val="Compact"/>
              <w:jc w:val="left"/>
            </w:pPr>
            <w:r>
              <w:t xml:space="preserve">Through journeys a year</w:t>
            </w:r>
          </w:p>
        </w:tc>
        <w:tc>
          <w:tcPr/>
          <w:p>
            <w:pPr>
              <w:pStyle w:val="Compact"/>
              <w:jc w:val="left"/>
            </w:pPr>
            <w:r>
              <w:t xml:space="preserve">Through journeys a weekday</w:t>
            </w:r>
          </w:p>
        </w:tc>
        <w:tc>
          <w:tcPr/>
          <w:p>
            <w:pPr>
              <w:pStyle w:val="Compact"/>
              <w:jc w:val="left"/>
            </w:pPr>
            <w:r>
              <w:t xml:space="preserve">Entries + exits a year</w:t>
            </w:r>
          </w:p>
        </w:tc>
      </w:tr>
      <w:tr>
        <w:tc>
          <w:tcPr/>
          <w:p>
            <w:pPr>
              <w:pStyle w:val="Compact"/>
              <w:jc w:val="left"/>
            </w:pPr>
            <w:r>
              <w:t xml:space="preserve">Didcot Parkway</w:t>
            </w:r>
          </w:p>
        </w:tc>
        <w:tc>
          <w:tcPr/>
          <w:p>
            <w:pPr>
              <w:pStyle w:val="Compact"/>
              <w:jc w:val="left"/>
            </w:pPr>
            <w:r>
              <w:t xml:space="preserve">DID</w:t>
            </w:r>
          </w:p>
        </w:tc>
        <w:tc>
          <w:tcPr/>
          <w:p>
            <w:pPr>
              <w:pStyle w:val="Compact"/>
              <w:jc w:val="left"/>
            </w:pPr>
            <w:r>
              <w:t xml:space="preserve">699,484</w:t>
            </w:r>
          </w:p>
        </w:tc>
        <w:tc>
          <w:tcPr/>
          <w:p>
            <w:pPr>
              <w:pStyle w:val="Compact"/>
              <w:jc w:val="left"/>
            </w:pPr>
            <w:r>
              <w:t xml:space="preserve">19.15m</w:t>
            </w:r>
          </w:p>
        </w:tc>
        <w:tc>
          <w:tcPr/>
          <w:p>
            <w:pPr>
              <w:pStyle w:val="Compact"/>
              <w:jc w:val="left"/>
            </w:pPr>
            <w:r>
              <w:t xml:space="preserve">58,499</w:t>
            </w:r>
          </w:p>
        </w:tc>
        <w:tc>
          <w:tcPr/>
          <w:p>
            <w:pPr>
              <w:pStyle w:val="Compact"/>
              <w:jc w:val="left"/>
            </w:pPr>
            <w:r>
              <w:t xml:space="preserve">2.88m</w:t>
            </w:r>
          </w:p>
        </w:tc>
      </w:tr>
      <w:tr>
        <w:tc>
          <w:tcPr/>
          <w:p>
            <w:pPr>
              <w:pStyle w:val="Compact"/>
              <w:jc w:val="left"/>
            </w:pPr>
            <w:r>
              <w:t xml:space="preserve">Swindon (Wilts)</w:t>
            </w:r>
          </w:p>
        </w:tc>
        <w:tc>
          <w:tcPr/>
          <w:p>
            <w:pPr>
              <w:pStyle w:val="Compact"/>
              <w:jc w:val="left"/>
            </w:pPr>
            <w:r>
              <w:t xml:space="preserve">SWI</w:t>
            </w:r>
          </w:p>
        </w:tc>
        <w:tc>
          <w:tcPr/>
          <w:p>
            <w:pPr>
              <w:pStyle w:val="Compact"/>
              <w:jc w:val="left"/>
            </w:pPr>
            <w:r>
              <w:t xml:space="preserve">332,236</w:t>
            </w:r>
          </w:p>
        </w:tc>
        <w:tc>
          <w:tcPr/>
          <w:p>
            <w:pPr>
              <w:pStyle w:val="Compact"/>
              <w:jc w:val="left"/>
            </w:pPr>
            <w:r>
              <w:t xml:space="preserve">10.93m</w:t>
            </w:r>
          </w:p>
        </w:tc>
        <w:tc>
          <w:tcPr/>
          <w:p>
            <w:pPr>
              <w:pStyle w:val="Compact"/>
              <w:jc w:val="left"/>
            </w:pPr>
            <w:r>
              <w:t xml:space="preserve">33,316</w:t>
            </w:r>
          </w:p>
        </w:tc>
        <w:tc>
          <w:tcPr/>
          <w:p>
            <w:pPr>
              <w:pStyle w:val="Compact"/>
              <w:jc w:val="left"/>
            </w:pPr>
            <w:r>
              <w:t xml:space="preserve">3.15m</w:t>
            </w:r>
          </w:p>
        </w:tc>
      </w:tr>
      <w:tr>
        <w:tc>
          <w:tcPr/>
          <w:p>
            <w:pPr>
              <w:pStyle w:val="Compact"/>
              <w:jc w:val="left"/>
            </w:pPr>
            <w:r>
              <w:t xml:space="preserve">Chippenham</w:t>
            </w:r>
          </w:p>
        </w:tc>
        <w:tc>
          <w:tcPr/>
          <w:p>
            <w:pPr>
              <w:pStyle w:val="Compact"/>
              <w:jc w:val="left"/>
            </w:pPr>
            <w:r>
              <w:t xml:space="preserve">CPM</w:t>
            </w:r>
          </w:p>
        </w:tc>
        <w:tc>
          <w:tcPr/>
          <w:p>
            <w:pPr>
              <w:pStyle w:val="Compact"/>
              <w:jc w:val="left"/>
            </w:pPr>
            <w:r>
              <w:t xml:space="preserve">121,566</w:t>
            </w:r>
          </w:p>
        </w:tc>
        <w:tc>
          <w:tcPr/>
          <w:p>
            <w:pPr>
              <w:pStyle w:val="Compact"/>
              <w:jc w:val="left"/>
            </w:pPr>
            <w:r>
              <w:t xml:space="preserve">6.58m</w:t>
            </w:r>
          </w:p>
        </w:tc>
        <w:tc>
          <w:tcPr/>
          <w:p>
            <w:pPr>
              <w:pStyle w:val="Compact"/>
              <w:jc w:val="left"/>
            </w:pPr>
            <w:r>
              <w:t xml:space="preserve">19,976</w:t>
            </w:r>
          </w:p>
        </w:tc>
        <w:tc>
          <w:tcPr/>
          <w:p>
            <w:pPr>
              <w:pStyle w:val="Compact"/>
              <w:jc w:val="left"/>
            </w:pPr>
            <w:r>
              <w:t xml:space="preserve">1.71m</w:t>
            </w:r>
          </w:p>
        </w:tc>
      </w:tr>
      <w:tr>
        <w:tc>
          <w:tcPr/>
          <w:p>
            <w:pPr>
              <w:pStyle w:val="Compact"/>
              <w:jc w:val="left"/>
            </w:pPr>
            <w:r>
              <w:t xml:space="preserve">Westbury</w:t>
            </w:r>
          </w:p>
        </w:tc>
        <w:tc>
          <w:tcPr/>
          <w:p>
            <w:pPr>
              <w:pStyle w:val="Compact"/>
              <w:jc w:val="left"/>
            </w:pPr>
            <w:r>
              <w:t xml:space="preserve">WSB</w:t>
            </w:r>
          </w:p>
        </w:tc>
        <w:tc>
          <w:tcPr/>
          <w:p>
            <w:pPr>
              <w:pStyle w:val="Compact"/>
              <w:jc w:val="left"/>
            </w:pPr>
            <w:r>
              <w:t xml:space="preserve">194,958</w:t>
            </w:r>
          </w:p>
        </w:tc>
        <w:tc>
          <w:tcPr/>
          <w:p>
            <w:pPr>
              <w:pStyle w:val="Compact"/>
              <w:jc w:val="left"/>
            </w:pPr>
            <w:r>
              <w:t xml:space="preserve">5.25m</w:t>
            </w:r>
          </w:p>
        </w:tc>
        <w:tc>
          <w:tcPr/>
          <w:p>
            <w:pPr>
              <w:pStyle w:val="Compact"/>
              <w:jc w:val="left"/>
            </w:pPr>
            <w:r>
              <w:t xml:space="preserve">16,029</w:t>
            </w:r>
          </w:p>
        </w:tc>
        <w:tc>
          <w:tcPr/>
          <w:p>
            <w:pPr>
              <w:pStyle w:val="Compact"/>
              <w:jc w:val="left"/>
            </w:pPr>
            <w:r>
              <w:t xml:space="preserve">0.54m</w:t>
            </w:r>
          </w:p>
        </w:tc>
      </w:tr>
      <w:tr>
        <w:tc>
          <w:tcPr/>
          <w:p>
            <w:pPr>
              <w:pStyle w:val="Compact"/>
              <w:jc w:val="left"/>
            </w:pPr>
            <w:r>
              <w:t xml:space="preserve">Taunton</w:t>
            </w:r>
          </w:p>
        </w:tc>
        <w:tc>
          <w:tcPr/>
          <w:p>
            <w:pPr>
              <w:pStyle w:val="Compact"/>
              <w:jc w:val="left"/>
            </w:pPr>
            <w:r>
              <w:t xml:space="preserve">TAU</w:t>
            </w:r>
          </w:p>
        </w:tc>
        <w:tc>
          <w:tcPr/>
          <w:p>
            <w:pPr>
              <w:pStyle w:val="Compact"/>
              <w:jc w:val="left"/>
            </w:pPr>
            <w:r>
              <w:t xml:space="preserve">301,044</w:t>
            </w:r>
          </w:p>
        </w:tc>
        <w:tc>
          <w:tcPr/>
          <w:p>
            <w:pPr>
              <w:pStyle w:val="Compact"/>
              <w:jc w:val="left"/>
            </w:pPr>
            <w:r>
              <w:t xml:space="preserve">4.17m</w:t>
            </w:r>
          </w:p>
        </w:tc>
        <w:tc>
          <w:tcPr/>
          <w:p>
            <w:pPr>
              <w:pStyle w:val="Compact"/>
              <w:jc w:val="left"/>
            </w:pPr>
            <w:r>
              <w:t xml:space="preserve">12,777</w:t>
            </w:r>
          </w:p>
        </w:tc>
        <w:tc>
          <w:tcPr/>
          <w:p>
            <w:pPr>
              <w:pStyle w:val="Compact"/>
              <w:jc w:val="left"/>
            </w:pPr>
            <w:r>
              <w:t xml:space="preserve">1.62m</w:t>
            </w:r>
          </w:p>
        </w:tc>
      </w:tr>
      <w:tr>
        <w:tc>
          <w:tcPr/>
          <w:p>
            <w:pPr>
              <w:pStyle w:val="Compact"/>
              <w:jc w:val="left"/>
            </w:pPr>
            <w:r>
              <w:t xml:space="preserve">Newbury</w:t>
            </w:r>
          </w:p>
        </w:tc>
        <w:tc>
          <w:tcPr/>
          <w:p>
            <w:pPr>
              <w:pStyle w:val="Compact"/>
              <w:jc w:val="left"/>
            </w:pPr>
            <w:r>
              <w:t xml:space="preserve">NBY</w:t>
            </w:r>
          </w:p>
        </w:tc>
        <w:tc>
          <w:tcPr/>
          <w:p>
            <w:pPr>
              <w:pStyle w:val="Compact"/>
              <w:jc w:val="left"/>
            </w:pPr>
            <w:r>
              <w:t xml:space="preserve">89,984</w:t>
            </w:r>
          </w:p>
        </w:tc>
        <w:tc>
          <w:tcPr/>
          <w:p>
            <w:pPr>
              <w:pStyle w:val="Compact"/>
              <w:jc w:val="left"/>
            </w:pPr>
            <w:r>
              <w:t xml:space="preserve">3.69m</w:t>
            </w:r>
          </w:p>
        </w:tc>
        <w:tc>
          <w:tcPr/>
          <w:p>
            <w:pPr>
              <w:pStyle w:val="Compact"/>
              <w:jc w:val="left"/>
            </w:pPr>
            <w:r>
              <w:t xml:space="preserve">11,269</w:t>
            </w:r>
          </w:p>
        </w:tc>
        <w:tc>
          <w:tcPr/>
          <w:p>
            <w:pPr>
              <w:pStyle w:val="Compact"/>
              <w:jc w:val="left"/>
            </w:pPr>
            <w:r>
              <w:t xml:space="preserve">1.54m</w:t>
            </w:r>
          </w:p>
        </w:tc>
      </w:tr>
      <w:tr>
        <w:tc>
          <w:tcPr/>
          <w:p>
            <w:pPr>
              <w:pStyle w:val="Compact"/>
              <w:jc w:val="left"/>
            </w:pPr>
            <w:r>
              <w:t xml:space="preserve">Hungerford</w:t>
            </w:r>
          </w:p>
        </w:tc>
        <w:tc>
          <w:tcPr/>
          <w:p>
            <w:pPr>
              <w:pStyle w:val="Compact"/>
              <w:jc w:val="left"/>
            </w:pPr>
            <w:r>
              <w:t xml:space="preserve">HGD</w:t>
            </w:r>
          </w:p>
        </w:tc>
        <w:tc>
          <w:tcPr/>
          <w:p>
            <w:pPr>
              <w:pStyle w:val="Compact"/>
              <w:jc w:val="left"/>
            </w:pPr>
            <w:r>
              <w:t xml:space="preserve">81,584</w:t>
            </w:r>
          </w:p>
        </w:tc>
        <w:tc>
          <w:tcPr/>
          <w:p>
            <w:pPr>
              <w:pStyle w:val="Compact"/>
              <w:jc w:val="left"/>
            </w:pPr>
            <w:r>
              <w:t xml:space="preserve">3.52m</w:t>
            </w:r>
          </w:p>
        </w:tc>
        <w:tc>
          <w:tcPr/>
          <w:p>
            <w:pPr>
              <w:pStyle w:val="Compact"/>
              <w:jc w:val="left"/>
            </w:pPr>
            <w:r>
              <w:t xml:space="preserve">10,731</w:t>
            </w:r>
          </w:p>
        </w:tc>
        <w:tc>
          <w:tcPr/>
          <w:p>
            <w:pPr>
              <w:pStyle w:val="Compact"/>
              <w:jc w:val="left"/>
            </w:pPr>
            <w:r>
              <w:t xml:space="preserve">0.31m</w:t>
            </w:r>
          </w:p>
        </w:tc>
      </w:tr>
      <w:tr>
        <w:tc>
          <w:tcPr/>
          <w:p>
            <w:pPr>
              <w:pStyle w:val="Compact"/>
              <w:jc w:val="left"/>
            </w:pPr>
            <w:r>
              <w:t xml:space="preserve">Bedwyn</w:t>
            </w:r>
          </w:p>
        </w:tc>
        <w:tc>
          <w:tcPr/>
          <w:p>
            <w:pPr>
              <w:pStyle w:val="Compact"/>
              <w:jc w:val="left"/>
            </w:pPr>
            <w:r>
              <w:t xml:space="preserve">BDW</w:t>
            </w:r>
          </w:p>
        </w:tc>
        <w:tc>
          <w:tcPr/>
          <w:p>
            <w:pPr>
              <w:pStyle w:val="Compact"/>
              <w:jc w:val="left"/>
            </w:pPr>
            <w:r>
              <w:t xml:space="preserve">77,800</w:t>
            </w:r>
          </w:p>
        </w:tc>
        <w:tc>
          <w:tcPr/>
          <w:p>
            <w:pPr>
              <w:pStyle w:val="Compact"/>
              <w:jc w:val="left"/>
            </w:pPr>
            <w:r>
              <w:t xml:space="preserve">3.46m</w:t>
            </w:r>
          </w:p>
        </w:tc>
        <w:tc>
          <w:tcPr/>
          <w:p>
            <w:pPr>
              <w:pStyle w:val="Compact"/>
              <w:jc w:val="left"/>
            </w:pPr>
            <w:r>
              <w:t xml:space="preserve">10,540</w:t>
            </w:r>
          </w:p>
        </w:tc>
        <w:tc>
          <w:tcPr/>
          <w:p>
            <w:pPr>
              <w:pStyle w:val="Compact"/>
              <w:jc w:val="left"/>
            </w:pPr>
            <w:r>
              <w:t xml:space="preserve">0.10m</w:t>
            </w:r>
          </w:p>
        </w:tc>
      </w:tr>
      <w:tr>
        <w:tc>
          <w:tcPr/>
          <w:p>
            <w:pPr>
              <w:pStyle w:val="Compact"/>
              <w:jc w:val="left"/>
            </w:pPr>
            <w:r>
              <w:t xml:space="preserve">Pewsey</w:t>
            </w:r>
          </w:p>
        </w:tc>
        <w:tc>
          <w:tcPr/>
          <w:p>
            <w:pPr>
              <w:pStyle w:val="Compact"/>
              <w:jc w:val="left"/>
            </w:pPr>
            <w:r>
              <w:t xml:space="preserve">PEW</w:t>
            </w:r>
          </w:p>
        </w:tc>
        <w:tc>
          <w:tcPr/>
          <w:p>
            <w:pPr>
              <w:pStyle w:val="Compact"/>
              <w:jc w:val="left"/>
            </w:pPr>
            <w:r>
              <w:t xml:space="preserve">75,050</w:t>
            </w:r>
          </w:p>
        </w:tc>
        <w:tc>
          <w:tcPr/>
          <w:p>
            <w:pPr>
              <w:pStyle w:val="Compact"/>
              <w:jc w:val="left"/>
            </w:pPr>
            <w:r>
              <w:t xml:space="preserve">3.31m</w:t>
            </w:r>
          </w:p>
        </w:tc>
        <w:tc>
          <w:tcPr/>
          <w:p>
            <w:pPr>
              <w:pStyle w:val="Compact"/>
              <w:jc w:val="left"/>
            </w:pPr>
            <w:r>
              <w:t xml:space="preserve">10,095</w:t>
            </w:r>
          </w:p>
        </w:tc>
        <w:tc>
          <w:tcPr/>
          <w:p>
            <w:pPr>
              <w:pStyle w:val="Compact"/>
              <w:jc w:val="left"/>
            </w:pPr>
            <w:r>
              <w:t xml:space="preserve">0.21m</w:t>
            </w:r>
          </w:p>
        </w:tc>
      </w:tr>
      <w:tr>
        <w:tc>
          <w:tcPr/>
          <w:p>
            <w:pPr>
              <w:pStyle w:val="Compact"/>
              <w:jc w:val="left"/>
            </w:pPr>
            <w:r>
              <w:t xml:space="preserve">Castle Cary</w:t>
            </w:r>
          </w:p>
        </w:tc>
        <w:tc>
          <w:tcPr/>
          <w:p>
            <w:pPr>
              <w:pStyle w:val="Compact"/>
              <w:jc w:val="left"/>
            </w:pPr>
            <w:r>
              <w:t xml:space="preserve">CLC</w:t>
            </w:r>
          </w:p>
        </w:tc>
        <w:tc>
          <w:tcPr/>
          <w:p>
            <w:pPr>
              <w:pStyle w:val="Compact"/>
              <w:jc w:val="left"/>
            </w:pPr>
            <w:r>
              <w:t xml:space="preserve">115,076</w:t>
            </w:r>
          </w:p>
        </w:tc>
        <w:tc>
          <w:tcPr/>
          <w:p>
            <w:pPr>
              <w:pStyle w:val="Compact"/>
              <w:jc w:val="left"/>
            </w:pPr>
            <w:r>
              <w:t xml:space="preserve">2.81m</w:t>
            </w:r>
          </w:p>
        </w:tc>
        <w:tc>
          <w:tcPr/>
          <w:p>
            <w:pPr>
              <w:pStyle w:val="Compact"/>
              <w:jc w:val="left"/>
            </w:pPr>
            <w:r>
              <w:t xml:space="preserve">8,560</w:t>
            </w:r>
          </w:p>
        </w:tc>
        <w:tc>
          <w:tcPr/>
          <w:p>
            <w:pPr>
              <w:pStyle w:val="Compact"/>
              <w:jc w:val="left"/>
            </w:pPr>
            <w:r>
              <w:t xml:space="preserve">0.35m</w:t>
            </w:r>
          </w:p>
        </w:tc>
      </w:tr>
      <w:tr>
        <w:tc>
          <w:tcPr/>
          <w:p>
            <w:pPr>
              <w:pStyle w:val="Compact"/>
              <w:jc w:val="left"/>
            </w:pPr>
            <w:r>
              <w:t xml:space="preserve">Trowbridge</w:t>
            </w:r>
          </w:p>
        </w:tc>
        <w:tc>
          <w:tcPr/>
          <w:p>
            <w:pPr>
              <w:pStyle w:val="Compact"/>
              <w:jc w:val="left"/>
            </w:pPr>
            <w:r>
              <w:t xml:space="preserve">TRO</w:t>
            </w:r>
          </w:p>
        </w:tc>
        <w:tc>
          <w:tcPr/>
          <w:p>
            <w:pPr>
              <w:pStyle w:val="Compact"/>
              <w:jc w:val="left"/>
            </w:pPr>
            <w:r>
              <w:t xml:space="preserve">138,266</w:t>
            </w:r>
          </w:p>
        </w:tc>
        <w:tc>
          <w:tcPr/>
          <w:p>
            <w:pPr>
              <w:pStyle w:val="Compact"/>
              <w:jc w:val="left"/>
            </w:pPr>
            <w:r>
              <w:t xml:space="preserve">2.55m</w:t>
            </w:r>
          </w:p>
        </w:tc>
        <w:tc>
          <w:tcPr/>
          <w:p>
            <w:pPr>
              <w:pStyle w:val="Compact"/>
              <w:jc w:val="left"/>
            </w:pPr>
            <w:r>
              <w:t xml:space="preserve">7,801</w:t>
            </w:r>
          </w:p>
        </w:tc>
        <w:tc>
          <w:tcPr/>
          <w:p>
            <w:pPr>
              <w:pStyle w:val="Compact"/>
              <w:jc w:val="left"/>
            </w:pPr>
            <w:r>
              <w:t xml:space="preserve">0.90m</w:t>
            </w:r>
          </w:p>
        </w:tc>
      </w:tr>
      <w:tr>
        <w:tc>
          <w:tcPr/>
          <w:p>
            <w:pPr>
              <w:pStyle w:val="Compact"/>
              <w:jc w:val="left"/>
            </w:pPr>
            <w:r>
              <w:t xml:space="preserve">Crewkerne</w:t>
            </w:r>
          </w:p>
        </w:tc>
        <w:tc>
          <w:tcPr/>
          <w:p>
            <w:pPr>
              <w:pStyle w:val="Compact"/>
              <w:jc w:val="left"/>
            </w:pPr>
            <w:r>
              <w:t xml:space="preserve">CKN</w:t>
            </w:r>
          </w:p>
        </w:tc>
        <w:tc>
          <w:tcPr/>
          <w:p>
            <w:pPr>
              <w:pStyle w:val="Compact"/>
              <w:jc w:val="left"/>
            </w:pPr>
            <w:r>
              <w:t xml:space="preserve">134,202</w:t>
            </w:r>
          </w:p>
        </w:tc>
        <w:tc>
          <w:tcPr/>
          <w:p>
            <w:pPr>
              <w:pStyle w:val="Compact"/>
              <w:jc w:val="left"/>
            </w:pPr>
            <w:r>
              <w:t xml:space="preserve">1.57m</w:t>
            </w:r>
          </w:p>
        </w:tc>
        <w:tc>
          <w:tcPr/>
          <w:p>
            <w:pPr>
              <w:pStyle w:val="Compact"/>
              <w:jc w:val="left"/>
            </w:pPr>
            <w:r>
              <w:t xml:space="preserve">4,958</w:t>
            </w:r>
          </w:p>
        </w:tc>
        <w:tc>
          <w:tcPr/>
          <w:p>
            <w:pPr>
              <w:pStyle w:val="Compact"/>
              <w:jc w:val="left"/>
            </w:pPr>
            <w:r>
              <w:t xml:space="preserve">0.18m</w:t>
            </w:r>
          </w:p>
        </w:tc>
      </w:tr>
      <w:tr>
        <w:tc>
          <w:tcPr/>
          <w:p>
            <w:pPr>
              <w:pStyle w:val="Compact"/>
              <w:jc w:val="left"/>
            </w:pPr>
            <w:r>
              <w:t xml:space="preserve">Melksham</w:t>
            </w:r>
          </w:p>
        </w:tc>
        <w:tc>
          <w:tcPr/>
          <w:p>
            <w:pPr>
              <w:pStyle w:val="Compact"/>
              <w:jc w:val="left"/>
            </w:pPr>
            <w:r>
              <w:t xml:space="preserve">MKM</w:t>
            </w:r>
          </w:p>
        </w:tc>
        <w:tc>
          <w:tcPr/>
          <w:p>
            <w:pPr>
              <w:pStyle w:val="Compact"/>
              <w:jc w:val="left"/>
            </w:pPr>
            <w:r>
              <w:t xml:space="preserve">76,570</w:t>
            </w:r>
          </w:p>
        </w:tc>
        <w:tc>
          <w:tcPr/>
          <w:p>
            <w:pPr>
              <w:pStyle w:val="Compact"/>
              <w:jc w:val="left"/>
            </w:pPr>
            <w:r>
              <w:t xml:space="preserve">0.79m</w:t>
            </w:r>
          </w:p>
        </w:tc>
        <w:tc>
          <w:tcPr/>
          <w:p>
            <w:pPr>
              <w:pStyle w:val="Compact"/>
              <w:jc w:val="left"/>
            </w:pPr>
            <w:r>
              <w:t xml:space="preserve">2,429</w:t>
            </w:r>
          </w:p>
        </w:tc>
        <w:tc>
          <w:tcPr/>
          <w:p>
            <w:pPr>
              <w:pStyle w:val="Compact"/>
              <w:jc w:val="left"/>
            </w:pPr>
            <w:r>
              <w:t xml:space="preserve">0.06m</w:t>
            </w:r>
          </w:p>
        </w:tc>
      </w:tr>
      <w:tr>
        <w:tc>
          <w:tcPr/>
          <w:p>
            <w:pPr>
              <w:pStyle w:val="Compact"/>
              <w:jc w:val="left"/>
            </w:pPr>
            <w:r>
              <w:t xml:space="preserve">Yeovil Pen Mill</w:t>
            </w:r>
          </w:p>
        </w:tc>
        <w:tc>
          <w:tcPr/>
          <w:p>
            <w:pPr>
              <w:pStyle w:val="Compact"/>
              <w:jc w:val="left"/>
            </w:pPr>
            <w:r>
              <w:t xml:space="preserve">YVP</w:t>
            </w:r>
          </w:p>
        </w:tc>
        <w:tc>
          <w:tcPr/>
          <w:p>
            <w:pPr>
              <w:pStyle w:val="Compact"/>
              <w:jc w:val="left"/>
            </w:pPr>
            <w:r>
              <w:t xml:space="preserve">64,314</w:t>
            </w:r>
          </w:p>
        </w:tc>
        <w:tc>
          <w:tcPr/>
          <w:p>
            <w:pPr>
              <w:pStyle w:val="Compact"/>
              <w:jc w:val="left"/>
            </w:pPr>
            <w:r>
              <w:t xml:space="preserve">0.70m</w:t>
            </w:r>
          </w:p>
        </w:tc>
        <w:tc>
          <w:tcPr/>
          <w:p>
            <w:pPr>
              <w:pStyle w:val="Compact"/>
              <w:jc w:val="left"/>
            </w:pPr>
            <w:r>
              <w:t xml:space="preserve">2,130</w:t>
            </w:r>
          </w:p>
        </w:tc>
        <w:tc>
          <w:tcPr/>
          <w:p>
            <w:pPr>
              <w:pStyle w:val="Compact"/>
              <w:jc w:val="left"/>
            </w:pPr>
            <w:r>
              <w:t xml:space="preserve">0.17m</w:t>
            </w:r>
          </w:p>
        </w:tc>
      </w:tr>
      <w:tr>
        <w:tc>
          <w:tcPr/>
          <w:p>
            <w:pPr>
              <w:pStyle w:val="Compact"/>
              <w:jc w:val="left"/>
            </w:pPr>
            <w:r>
              <w:t xml:space="preserve">Maiden Newton</w:t>
            </w:r>
          </w:p>
        </w:tc>
        <w:tc>
          <w:tcPr/>
          <w:p>
            <w:pPr>
              <w:pStyle w:val="Compact"/>
              <w:jc w:val="left"/>
            </w:pPr>
            <w:r>
              <w:t xml:space="preserve">MDN</w:t>
            </w:r>
          </w:p>
        </w:tc>
        <w:tc>
          <w:tcPr/>
          <w:p>
            <w:pPr>
              <w:pStyle w:val="Compact"/>
              <w:jc w:val="left"/>
            </w:pPr>
            <w:r>
              <w:t xml:space="preserve">24,252</w:t>
            </w:r>
          </w:p>
        </w:tc>
        <w:tc>
          <w:tcPr/>
          <w:p>
            <w:pPr>
              <w:pStyle w:val="Compact"/>
              <w:jc w:val="left"/>
            </w:pPr>
            <w:r>
              <w:t xml:space="preserve">0.47m</w:t>
            </w:r>
          </w:p>
        </w:tc>
        <w:tc>
          <w:tcPr/>
          <w:p>
            <w:pPr>
              <w:pStyle w:val="Compact"/>
              <w:jc w:val="left"/>
            </w:pPr>
            <w:r>
              <w:t xml:space="preserve">1,430</w:t>
            </w:r>
          </w:p>
        </w:tc>
        <w:tc>
          <w:tcPr/>
          <w:p>
            <w:pPr>
              <w:pStyle w:val="Compact"/>
              <w:jc w:val="left"/>
            </w:pPr>
            <w:r>
              <w:t xml:space="preserve">0.02m</w:t>
            </w:r>
          </w:p>
        </w:tc>
      </w:tr>
      <w:tr>
        <w:tc>
          <w:tcPr/>
          <w:p>
            <w:pPr>
              <w:pStyle w:val="Compact"/>
              <w:jc w:val="left"/>
            </w:pPr>
            <w:r>
              <w:t xml:space="preserve">Frome</w:t>
            </w:r>
          </w:p>
        </w:tc>
        <w:tc>
          <w:tcPr/>
          <w:p>
            <w:pPr>
              <w:pStyle w:val="Compact"/>
              <w:jc w:val="left"/>
            </w:pPr>
            <w:r>
              <w:t xml:space="preserve">FRO</w:t>
            </w:r>
          </w:p>
        </w:tc>
        <w:tc>
          <w:tcPr/>
          <w:p>
            <w:pPr>
              <w:pStyle w:val="Compact"/>
              <w:jc w:val="left"/>
            </w:pPr>
            <w:r>
              <w:t xml:space="preserve">0</w:t>
            </w:r>
          </w:p>
        </w:tc>
        <w:tc>
          <w:tcPr/>
          <w:p>
            <w:pPr>
              <w:pStyle w:val="Compact"/>
              <w:jc w:val="left"/>
            </w:pPr>
            <w:r>
              <w:t xml:space="preserve">0.00m</w:t>
            </w:r>
          </w:p>
        </w:tc>
        <w:tc>
          <w:tcPr/>
          <w:p>
            <w:pPr>
              <w:pStyle w:val="Compact"/>
              <w:jc w:val="left"/>
            </w:pPr>
            <w:r>
              <w:t xml:space="preserve">0</w:t>
            </w:r>
          </w:p>
        </w:tc>
        <w:tc>
          <w:tcPr/>
          <w:p>
            <w:pPr>
              <w:pStyle w:val="Compact"/>
              <w:jc w:val="left"/>
            </w:pPr>
            <w:r>
              <w:t xml:space="preserve">0.29m</w:t>
            </w:r>
          </w:p>
        </w:tc>
      </w:tr>
    </w:tbl>
    <w:p>
      <w:pPr>
        <w:pStyle w:val="BodyText"/>
      </w:pPr>
      <w:r>
        <w:t xml:space="preserve">Pewsey, the STC's top split point by both count and average saving, has 3.3 million journeys a year passing through it but only 209 thousand entries and exits. Didcot Parkway and Swindon carry several times as many through journeys, so even a lower split rate there could cost more. Combined with the STC's split counts, this gives a demand-weighted priority list for fares review.</w:t>
      </w:r>
    </w:p>
    <w:bookmarkEnd w:id="28"/>
    <w:bookmarkStart w:id="29" w:name="caveats"/>
    <w:p>
      <w:pPr>
        <w:pStyle w:val="Heading3"/>
      </w:pPr>
      <w:r>
        <w:t xml:space="preserve">Caveats</w:t>
      </w:r>
    </w:p>
    <w:p>
      <w:pPr>
        <w:numPr>
          <w:ilvl w:val="0"/>
          <w:numId w:val="1003"/>
        </w:numPr>
        <w:pStyle w:val="Compact"/>
      </w:pPr>
      <w:r>
        <w:t xml:space="preserve">The upper bound assumes every traveller on the flow splits. Real take-up depends on retailer behaviour and awareness; the ranking is more useful than the absolute values.</w:t>
      </w:r>
    </w:p>
    <w:p>
      <w:pPr>
        <w:numPr>
          <w:ilvl w:val="0"/>
          <w:numId w:val="1003"/>
        </w:numPr>
        <w:pStyle w:val="Compact"/>
      </w:pPr>
      <w:r>
        <w:t xml:space="preserve">Model B gives all-ticket demand. The STC work is about Anytime Day Singles and Advance Singles, so a product split (roadmap R2, LENNON by ticket type) would sharpen the estimate.</w:t>
      </w:r>
    </w:p>
    <w:p>
      <w:pPr>
        <w:numPr>
          <w:ilvl w:val="0"/>
          <w:numId w:val="1003"/>
        </w:numPr>
        <w:pStyle w:val="Compact"/>
      </w:pPr>
      <w:r>
        <w:t xml:space="preserve">railflow routes on the shortest track path; the STC uses calling patterns. The two can disagree on loops and where several routes compete (Frome is the example here). Timetable-based routing (R3) removes the difference.</w:t>
      </w:r>
    </w:p>
    <w:bookmarkEnd w:id="29"/>
    <w:bookmarkEnd w:id="30"/>
    <w:bookmarkStart w:id="38" w:name="flows"/>
    <w:p>
      <w:pPr>
        <w:pStyle w:val="Heading2"/>
      </w:pPr>
      <w:r>
        <w:t xml:space="preserve">Flow Classification</w:t>
      </w:r>
    </w:p>
    <w:bookmarkStart w:id="31" w:name="the-project-1"/>
    <w:p>
      <w:pPr>
        <w:pStyle w:val="Heading3"/>
      </w:pPr>
      <w:r>
        <w:t xml:space="preserve">The project</w:t>
      </w:r>
    </w:p>
    <w:p>
      <w:pPr>
        <w:pStyle w:val="FirstParagraph"/>
      </w:pPr>
      <w:r>
        <w:t xml:space="preserve">The preliminary Flow Classification model, part of the Integrated Fares Model work, grouped 15,072 PMS flows for London Overground and Greater Anglia into five clusters with k-means, using ticket types, mileage and station usage. Its stated limitations include missing or inconsistent mileages and no measure of journeys on each flow, with LENNON data planned.</w:t>
      </w:r>
    </w:p>
    <w:bookmarkEnd w:id="31"/>
    <w:bookmarkStart w:id="32" w:name="what-railflow-adds-1"/>
    <w:p>
      <w:pPr>
        <w:pStyle w:val="Heading3"/>
      </w:pPr>
      <w:r>
        <w:t xml:space="preserve">What railflow adds</w:t>
      </w:r>
    </w:p>
    <w:p>
      <w:pPr>
        <w:numPr>
          <w:ilvl w:val="0"/>
          <w:numId w:val="1004"/>
        </w:numPr>
        <w:pStyle w:val="Compact"/>
      </w:pPr>
      <w:r>
        <w:rPr>
          <w:rStyle w:val="VerbatimChar"/>
        </w:rPr>
        <w:t xml:space="preserve">network_km</w:t>
      </w:r>
      <w:r>
        <w:t xml:space="preserve">: route distance on the rail network for every station pair, which fills missing mileages consistently.</w:t>
      </w:r>
    </w:p>
    <w:p>
      <w:pPr>
        <w:numPr>
          <w:ilvl w:val="0"/>
          <w:numId w:val="1004"/>
        </w:numPr>
        <w:pStyle w:val="Compact"/>
      </w:pPr>
      <w:r>
        <w:rPr>
          <w:rStyle w:val="VerbatimChar"/>
        </w:rPr>
        <w:t xml:space="preserve">crowfly_km</w:t>
      </w:r>
      <w:r>
        <w:t xml:space="preserve">: straight-line distance, so circuitous flows can be identified.</w:t>
      </w:r>
    </w:p>
    <w:p>
      <w:pPr>
        <w:numPr>
          <w:ilvl w:val="0"/>
          <w:numId w:val="1004"/>
        </w:numPr>
        <w:pStyle w:val="Compact"/>
      </w:pPr>
      <w:r>
        <w:rPr>
          <w:rStyle w:val="VerbatimChar"/>
        </w:rPr>
        <w:t xml:space="preserve">annual_journeys</w:t>
      </w:r>
      <w:r>
        <w:t xml:space="preserve"> </w:t>
      </w:r>
      <w:r>
        <w:t xml:space="preserve">and</w:t>
      </w:r>
      <w:r>
        <w:t xml:space="preserve"> </w:t>
      </w:r>
      <w:r>
        <w:rPr>
          <w:rStyle w:val="VerbatimChar"/>
        </w:rPr>
        <w:t xml:space="preserve">weekday_journeys</w:t>
      </w:r>
      <w:r>
        <w:t xml:space="preserve">: modelled demand on the flow, in both directions.</w:t>
      </w:r>
    </w:p>
    <w:p>
      <w:pPr>
        <w:numPr>
          <w:ilvl w:val="0"/>
          <w:numId w:val="1004"/>
        </w:numPr>
        <w:pStyle w:val="Compact"/>
      </w:pPr>
      <w:r>
        <w:rPr>
          <w:rStyle w:val="VerbatimChar"/>
        </w:rPr>
        <w:t xml:space="preserve">commute_share</w:t>
      </w:r>
      <w:r>
        <w:t xml:space="preserve">: season-ticket share of the two stations, weighted by their usage (a proxy until LENNON gives it by flow).</w:t>
      </w:r>
    </w:p>
    <w:bookmarkEnd w:id="32"/>
    <w:bookmarkStart w:id="36" w:name="results-1"/>
    <w:p>
      <w:pPr>
        <w:pStyle w:val="Heading3"/>
      </w:pPr>
      <w:r>
        <w:t xml:space="preserve">Results</w:t>
      </w:r>
    </w:p>
    <w:p>
      <w:pPr>
        <w:pStyle w:val="FirstParagraph"/>
      </w:pPr>
      <w:r>
        <w:t xml:space="preserve">The example builds these features for all 44,041 station pairs touching a Greater Anglia or London Overground station with at least 100 modelled journeys a year (263 million journeys), runs a five-cluster k-means with distance weighted up as in the preliminary model, and reports each cluster's share of flows and of journeys.</w:t>
      </w:r>
    </w:p>
    <w:p>
      <w:pPr>
        <w:pStyle w:val="CaptionedFigure"/>
      </w:pPr>
      <w:r>
        <w:drawing>
          <wp:inline>
            <wp:extent cx="6286500" cy="4149090"/>
            <wp:effectExtent b="0" l="0" r="0" t="0"/>
            <wp:docPr descr="Five scatter panels of crow-fly distance against modelled journeys, one cluster highlighted in each" title="" id="34" name="Picture"/>
            <a:graphic>
              <a:graphicData uri="http://schemas.openxmlformats.org/drawingml/2006/picture">
                <pic:pic>
                  <pic:nvPicPr>
                    <pic:cNvPr descr="figures/clusters_distance_vs_journeys.png" id="35" name="Picture"/>
                    <pic:cNvPicPr>
                      <a:picLocks noChangeArrowheads="1" noChangeAspect="1"/>
                    </pic:cNvPicPr>
                  </pic:nvPicPr>
                  <pic:blipFill>
                    <a:blip r:embed="rId33"/>
                    <a:stretch>
                      <a:fillRect/>
                    </a:stretch>
                  </pic:blipFill>
                  <pic:spPr bwMode="auto">
                    <a:xfrm>
                      <a:off x="0" y="0"/>
                      <a:ext cx="6286500" cy="4149090"/>
                    </a:xfrm>
                    <a:prstGeom prst="rect">
                      <a:avLst/>
                    </a:prstGeom>
                    <a:noFill/>
                    <a:ln w="9525">
                      <a:noFill/>
                      <a:headEnd/>
                      <a:tailEnd/>
                    </a:ln>
                  </pic:spPr>
                </pic:pic>
              </a:graphicData>
            </a:graphic>
          </wp:inline>
        </w:drawing>
      </w:r>
    </w:p>
    <w:p>
      <w:pPr>
        <w:pStyle w:val="ImageCaption"/>
      </w:pPr>
      <w:r>
        <w:t xml:space="preserve">Each panel highlights one cluster (blue) against all flows (grey): crow-fly distance against modelled journeys a year, both on log scales.</w:t>
      </w:r>
    </w:p>
    <w:p>
      <w:pPr>
        <w:pStyle w:val="BodyText"/>
      </w:pPr>
      <w:r>
        <w:t xml:space="preserve">Cluster summary, ordered by median distance.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Cluster</w:t>
            </w:r>
          </w:p>
        </w:tc>
        <w:tc>
          <w:tcPr/>
          <w:p>
            <w:pPr>
              <w:pStyle w:val="Compact"/>
              <w:jc w:val="left"/>
            </w:pPr>
            <w:r>
              <w:t xml:space="preserve">Flows</w:t>
            </w:r>
          </w:p>
        </w:tc>
        <w:tc>
          <w:tcPr/>
          <w:p>
            <w:pPr>
              <w:pStyle w:val="Compact"/>
              <w:jc w:val="left"/>
            </w:pPr>
            <w:r>
              <w:t xml:space="preserve">Share of flows</w:t>
            </w:r>
          </w:p>
        </w:tc>
        <w:tc>
          <w:tcPr/>
          <w:p>
            <w:pPr>
              <w:pStyle w:val="Compact"/>
              <w:jc w:val="left"/>
            </w:pPr>
            <w:r>
              <w:t xml:space="preserve">Share of journeys</w:t>
            </w:r>
          </w:p>
        </w:tc>
        <w:tc>
          <w:tcPr/>
          <w:p>
            <w:pPr>
              <w:pStyle w:val="Compact"/>
              <w:jc w:val="left"/>
            </w:pPr>
            <w:r>
              <w:t xml:space="preserve">Median crow-fly km</w:t>
            </w:r>
          </w:p>
        </w:tc>
        <w:tc>
          <w:tcPr/>
          <w:p>
            <w:pPr>
              <w:pStyle w:val="Compact"/>
              <w:jc w:val="left"/>
            </w:pPr>
            <w:r>
              <w:t xml:space="preserve">Median network km</w:t>
            </w:r>
          </w:p>
        </w:tc>
        <w:tc>
          <w:tcPr/>
          <w:p>
            <w:pPr>
              <w:pStyle w:val="Compact"/>
              <w:jc w:val="left"/>
            </w:pPr>
            <w:r>
              <w:t xml:space="preserve">Median journeys per flow</w:t>
            </w:r>
          </w:p>
        </w:tc>
        <w:tc>
          <w:tcPr/>
          <w:p>
            <w:pPr>
              <w:pStyle w:val="Compact"/>
              <w:jc w:val="left"/>
            </w:pPr>
            <w:r>
              <w:t xml:space="preserve">Median commute share</w:t>
            </w:r>
          </w:p>
        </w:tc>
      </w:tr>
      <w:tr>
        <w:tc>
          <w:tcPr/>
          <w:p>
            <w:pPr>
              <w:pStyle w:val="Compact"/>
              <w:jc w:val="left"/>
            </w:pPr>
            <w:r>
              <w:t xml:space="preserve">0</w:t>
            </w:r>
          </w:p>
        </w:tc>
        <w:tc>
          <w:tcPr/>
          <w:p>
            <w:pPr>
              <w:pStyle w:val="Compact"/>
              <w:jc w:val="left"/>
            </w:pPr>
            <w:r>
              <w:t xml:space="preserve">10,164</w:t>
            </w:r>
          </w:p>
        </w:tc>
        <w:tc>
          <w:tcPr/>
          <w:p>
            <w:pPr>
              <w:pStyle w:val="Compact"/>
              <w:jc w:val="left"/>
            </w:pPr>
            <w:r>
              <w:t xml:space="preserve">23%</w:t>
            </w:r>
          </w:p>
        </w:tc>
        <w:tc>
          <w:tcPr/>
          <w:p>
            <w:pPr>
              <w:pStyle w:val="Compact"/>
              <w:jc w:val="left"/>
            </w:pPr>
            <w:r>
              <w:t xml:space="preserve">90%</w:t>
            </w:r>
          </w:p>
        </w:tc>
        <w:tc>
          <w:tcPr/>
          <w:p>
            <w:pPr>
              <w:pStyle w:val="Compact"/>
              <w:jc w:val="left"/>
            </w:pPr>
            <w:r>
              <w:t xml:space="preserve">13</w:t>
            </w:r>
          </w:p>
        </w:tc>
        <w:tc>
          <w:tcPr/>
          <w:p>
            <w:pPr>
              <w:pStyle w:val="Compact"/>
              <w:jc w:val="left"/>
            </w:pPr>
            <w:r>
              <w:t xml:space="preserve">18</w:t>
            </w:r>
          </w:p>
        </w:tc>
        <w:tc>
          <w:tcPr/>
          <w:p>
            <w:pPr>
              <w:pStyle w:val="Compact"/>
              <w:jc w:val="left"/>
            </w:pPr>
            <w:r>
              <w:t xml:space="preserve">5,625</w:t>
            </w:r>
          </w:p>
        </w:tc>
        <w:tc>
          <w:tcPr/>
          <w:p>
            <w:pPr>
              <w:pStyle w:val="Compact"/>
              <w:jc w:val="left"/>
            </w:pPr>
            <w:r>
              <w:t xml:space="preserve">13%</w:t>
            </w:r>
          </w:p>
        </w:tc>
      </w:tr>
      <w:tr>
        <w:tc>
          <w:tcPr/>
          <w:p>
            <w:pPr>
              <w:pStyle w:val="Compact"/>
              <w:jc w:val="left"/>
            </w:pPr>
            <w:r>
              <w:t xml:space="preserve">1</w:t>
            </w:r>
          </w:p>
        </w:tc>
        <w:tc>
          <w:tcPr/>
          <w:p>
            <w:pPr>
              <w:pStyle w:val="Compact"/>
              <w:jc w:val="left"/>
            </w:pPr>
            <w:r>
              <w:t xml:space="preserve">17,882</w:t>
            </w:r>
          </w:p>
        </w:tc>
        <w:tc>
          <w:tcPr/>
          <w:p>
            <w:pPr>
              <w:pStyle w:val="Compact"/>
              <w:jc w:val="left"/>
            </w:pPr>
            <w:r>
              <w:t xml:space="preserve">41%</w:t>
            </w:r>
          </w:p>
        </w:tc>
        <w:tc>
          <w:tcPr/>
          <w:p>
            <w:pPr>
              <w:pStyle w:val="Compact"/>
              <w:jc w:val="left"/>
            </w:pPr>
            <w:r>
              <w:t xml:space="preserve">4%</w:t>
            </w:r>
          </w:p>
        </w:tc>
        <w:tc>
          <w:tcPr/>
          <w:p>
            <w:pPr>
              <w:pStyle w:val="Compact"/>
              <w:jc w:val="left"/>
            </w:pPr>
            <w:r>
              <w:t xml:space="preserve">25</w:t>
            </w:r>
          </w:p>
        </w:tc>
        <w:tc>
          <w:tcPr/>
          <w:p>
            <w:pPr>
              <w:pStyle w:val="Compact"/>
              <w:jc w:val="left"/>
            </w:pPr>
            <w:r>
              <w:t xml:space="preserve">33</w:t>
            </w:r>
          </w:p>
        </w:tc>
        <w:tc>
          <w:tcPr/>
          <w:p>
            <w:pPr>
              <w:pStyle w:val="Compact"/>
              <w:jc w:val="left"/>
            </w:pPr>
            <w:r>
              <w:t xml:space="preserve">338</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9,318</w:t>
            </w:r>
          </w:p>
        </w:tc>
        <w:tc>
          <w:tcPr/>
          <w:p>
            <w:pPr>
              <w:pStyle w:val="Compact"/>
              <w:jc w:val="left"/>
            </w:pPr>
            <w:r>
              <w:t xml:space="preserve">21%</w:t>
            </w:r>
          </w:p>
        </w:tc>
        <w:tc>
          <w:tcPr/>
          <w:p>
            <w:pPr>
              <w:pStyle w:val="Compact"/>
              <w:jc w:val="left"/>
            </w:pPr>
            <w:r>
              <w:t xml:space="preserve">4%</w:t>
            </w:r>
          </w:p>
        </w:tc>
        <w:tc>
          <w:tcPr/>
          <w:p>
            <w:pPr>
              <w:pStyle w:val="Compact"/>
              <w:jc w:val="left"/>
            </w:pPr>
            <w:r>
              <w:t xml:space="preserve">35</w:t>
            </w:r>
          </w:p>
        </w:tc>
        <w:tc>
          <w:tcPr/>
          <w:p>
            <w:pPr>
              <w:pStyle w:val="Compact"/>
              <w:jc w:val="left"/>
            </w:pPr>
            <w:r>
              <w:t xml:space="preserve">48</w:t>
            </w:r>
          </w:p>
        </w:tc>
        <w:tc>
          <w:tcPr/>
          <w:p>
            <w:pPr>
              <w:pStyle w:val="Compact"/>
              <w:jc w:val="left"/>
            </w:pPr>
            <w:r>
              <w:t xml:space="preserve">362</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5,728</w:t>
            </w:r>
          </w:p>
        </w:tc>
        <w:tc>
          <w:tcPr/>
          <w:p>
            <w:pPr>
              <w:pStyle w:val="Compact"/>
              <w:jc w:val="left"/>
            </w:pPr>
            <w:r>
              <w:t xml:space="preserve">13%</w:t>
            </w:r>
          </w:p>
        </w:tc>
        <w:tc>
          <w:tcPr/>
          <w:p>
            <w:pPr>
              <w:pStyle w:val="Compact"/>
              <w:jc w:val="left"/>
            </w:pPr>
            <w:r>
              <w:t xml:space="preserve">1%</w:t>
            </w:r>
          </w:p>
        </w:tc>
        <w:tc>
          <w:tcPr/>
          <w:p>
            <w:pPr>
              <w:pStyle w:val="Compact"/>
              <w:jc w:val="left"/>
            </w:pPr>
            <w:r>
              <w:t xml:space="preserve">205</w:t>
            </w:r>
          </w:p>
        </w:tc>
        <w:tc>
          <w:tcPr/>
          <w:p>
            <w:pPr>
              <w:pStyle w:val="Compact"/>
              <w:jc w:val="left"/>
            </w:pPr>
            <w:r>
              <w:t xml:space="preserve">272</w:t>
            </w:r>
          </w:p>
        </w:tc>
        <w:tc>
          <w:tcPr/>
          <w:p>
            <w:pPr>
              <w:pStyle w:val="Compact"/>
              <w:jc w:val="left"/>
            </w:pPr>
            <w:r>
              <w:t xml:space="preserve">241</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949</w:t>
            </w:r>
          </w:p>
        </w:tc>
        <w:tc>
          <w:tcPr/>
          <w:p>
            <w:pPr>
              <w:pStyle w:val="Compact"/>
              <w:jc w:val="left"/>
            </w:pPr>
            <w:r>
              <w:t xml:space="preserve">2%</w:t>
            </w:r>
          </w:p>
        </w:tc>
        <w:tc>
          <w:tcPr/>
          <w:p>
            <w:pPr>
              <w:pStyle w:val="Compact"/>
              <w:jc w:val="left"/>
            </w:pPr>
            <w:r>
              <w:t xml:space="preserve">0%</w:t>
            </w:r>
          </w:p>
        </w:tc>
        <w:tc>
          <w:tcPr/>
          <w:p>
            <w:pPr>
              <w:pStyle w:val="Compact"/>
              <w:jc w:val="left"/>
            </w:pPr>
            <w:r>
              <w:t xml:space="preserve">517</w:t>
            </w:r>
          </w:p>
        </w:tc>
        <w:tc>
          <w:tcPr/>
          <w:p>
            <w:pPr>
              <w:pStyle w:val="Compact"/>
              <w:jc w:val="left"/>
            </w:pPr>
            <w:r>
              <w:t xml:space="preserve">643</w:t>
            </w:r>
          </w:p>
        </w:tc>
        <w:tc>
          <w:tcPr/>
          <w:p>
            <w:pPr>
              <w:pStyle w:val="Compact"/>
              <w:jc w:val="left"/>
            </w:pPr>
            <w:r>
              <w:t xml:space="preserve">223</w:t>
            </w:r>
          </w:p>
        </w:tc>
        <w:tc>
          <w:tcPr/>
          <w:p>
            <w:pPr>
              <w:pStyle w:val="Compact"/>
              <w:jc w:val="left"/>
            </w:pPr>
            <w:r>
              <w:t xml:space="preserve">12%</w:t>
            </w:r>
          </w:p>
        </w:tc>
      </w:tr>
    </w:tbl>
    <w:p>
      <w:pPr>
        <w:pStyle w:val="BodyText"/>
      </w:pPr>
      <w:r>
        <w:t xml:space="preserve">Clusters of similar size in flow counts are very different in demand. One cluster contains 23% of flows but 90% of journeys; the two long-distance clusters together hold 15% of flows and 1.9% of journeys. For fares decisions, where revenue and customer impact scale with journeys, cluster summaries should be weighted by journeys and the clustering itself can use journeys as a sample weight.</w:t>
      </w:r>
    </w:p>
    <w:bookmarkEnd w:id="36"/>
    <w:bookmarkStart w:id="37" w:name="how-to-use-it"/>
    <w:p>
      <w:pPr>
        <w:pStyle w:val="Heading3"/>
      </w:pPr>
      <w:r>
        <w:t xml:space="preserve">How to use it</w:t>
      </w:r>
    </w:p>
    <w:p>
      <w:pPr>
        <w:numPr>
          <w:ilvl w:val="0"/>
          <w:numId w:val="1005"/>
        </w:numPr>
        <w:pStyle w:val="Compact"/>
      </w:pPr>
      <w:r>
        <w:t xml:space="preserve">Join</w:t>
      </w:r>
      <w:r>
        <w:t xml:space="preserve"> </w:t>
      </w:r>
      <w:r>
        <w:rPr>
          <w:rStyle w:val="VerbatimChar"/>
        </w:rPr>
        <w:t xml:space="preserve">flow_features_ga_lo.csv.gz</w:t>
      </w:r>
      <w:r>
        <w:t xml:space="preserve"> </w:t>
      </w:r>
      <w:r>
        <w:t xml:space="preserve">to the PMS flow list on origin and destination CRS (or NLC via</w:t>
      </w:r>
      <w:r>
        <w:t xml:space="preserve"> </w:t>
      </w:r>
      <w:r>
        <w:rPr>
          <w:rStyle w:val="VerbatimChar"/>
        </w:rPr>
        <w:t xml:space="preserve">rf.stations</w:t>
      </w:r>
      <w:r>
        <w:t xml:space="preserve">). The PMS list has fewer flows because it holds priced flows only, while the example covers all station pairs with modelled demand.</w:t>
      </w:r>
    </w:p>
    <w:p>
      <w:pPr>
        <w:numPr>
          <w:ilvl w:val="0"/>
          <w:numId w:val="1005"/>
        </w:numPr>
        <w:pStyle w:val="Compact"/>
      </w:pPr>
      <w:r>
        <w:t xml:space="preserve">Use</w:t>
      </w:r>
      <w:r>
        <w:t xml:space="preserve"> </w:t>
      </w:r>
      <w:r>
        <w:rPr>
          <w:rStyle w:val="VerbatimChar"/>
        </w:rPr>
        <w:t xml:space="preserve">network_km</w:t>
      </w:r>
      <w:r>
        <w:t xml:space="preserve"> </w:t>
      </w:r>
      <w:r>
        <w:t xml:space="preserve">where PMS mileage is missing, and the difference between the two as a data-quality flag.</w:t>
      </w:r>
    </w:p>
    <w:p>
      <w:pPr>
        <w:numPr>
          <w:ilvl w:val="0"/>
          <w:numId w:val="1005"/>
        </w:numPr>
        <w:pStyle w:val="Compact"/>
      </w:pPr>
      <w:r>
        <w:t xml:space="preserve">When LENNON is added, replace modelled journeys with observed ones and keep the network distance. The weekday ratio in the example is close to 1 for every cluster, because the current model derives it from station-level ticket mix; LENNON by flow and product (R2) would make it informative.</w:t>
      </w:r>
    </w:p>
    <w:bookmarkEnd w:id="37"/>
    <w:bookmarkEnd w:id="38"/>
    <w:bookmarkStart w:id="46" w:name="performance"/>
    <w:p>
      <w:pPr>
        <w:pStyle w:val="Heading2"/>
      </w:pPr>
      <w:r>
        <w:t xml:space="preserve">T3 &amp; Cancellation prediction</w:t>
      </w:r>
    </w:p>
    <w:bookmarkStart w:id="39" w:name="the-project-2"/>
    <w:p>
      <w:pPr>
        <w:pStyle w:val="Heading3"/>
      </w:pPr>
      <w:r>
        <w:t xml:space="preserve">The project</w:t>
      </w:r>
    </w:p>
    <w:p>
      <w:pPr>
        <w:pStyle w:val="FirstParagraph"/>
      </w:pPr>
      <w:r>
        <w:t xml:space="preserve">The T3 &amp; Cancellation work tests whether indicator data (track quality, speed restrictions, vegetation, fleet reliability, signaller vacancies, right-time depot starts) predicts T3 (trains arriving within three minutes of schedule) and cancellations, using XGBoost on route-period metrics and SARIMAX for national forecasts. T3 and cancellations count trains. Passengers feel them in proportion to how many people are on the affected trains, which varies by an order of magnitude between routes. The project's PfPI definition (delay minutes that count against the passenger performance target) already points this way.</w:t>
      </w:r>
    </w:p>
    <w:bookmarkEnd w:id="39"/>
    <w:bookmarkStart w:id="40" w:name="what-railflow-adds-2"/>
    <w:p>
      <w:pPr>
        <w:pStyle w:val="Heading3"/>
      </w:pPr>
      <w:r>
        <w:t xml:space="preserve">What railflow adds</w:t>
      </w:r>
    </w:p>
    <w:p>
      <w:pPr>
        <w:numPr>
          <w:ilvl w:val="0"/>
          <w:numId w:val="1006"/>
        </w:numPr>
        <w:pStyle w:val="Compact"/>
      </w:pPr>
      <w:r>
        <w:rPr>
          <w:bCs/>
          <w:b/>
        </w:rPr>
        <w:t xml:space="preserve">Passenger-weighted targets:</w:t>
      </w:r>
      <w:r>
        <w:t xml:space="preserve"> </w:t>
      </w:r>
      <w:r>
        <w:t xml:space="preserve">aggregate route-period T3 and cancellation rates to a national figure weighted by passenger-km, alongside the train-weighted one.</w:t>
      </w:r>
    </w:p>
    <w:p>
      <w:pPr>
        <w:numPr>
          <w:ilvl w:val="0"/>
          <w:numId w:val="1006"/>
        </w:numPr>
        <w:pStyle w:val="Compact"/>
      </w:pPr>
      <w:r>
        <w:rPr>
          <w:bCs/>
          <w:b/>
        </w:rPr>
        <w:t xml:space="preserve">Sample weights or features:</w:t>
      </w:r>
      <w:r>
        <w:t xml:space="preserve"> </w:t>
      </w:r>
      <w:r>
        <w:t xml:space="preserve">passenger exposure per route as an XGBoost sample weight, so errors on busy routes count for more, or as a feature.</w:t>
      </w:r>
    </w:p>
    <w:p>
      <w:pPr>
        <w:numPr>
          <w:ilvl w:val="0"/>
          <w:numId w:val="1006"/>
        </w:numPr>
        <w:pStyle w:val="Compact"/>
      </w:pPr>
      <w:r>
        <w:rPr>
          <w:bCs/>
          <w:b/>
        </w:rPr>
        <w:t xml:space="preserve">Impact conversion:</w:t>
      </w:r>
      <w:r>
        <w:t xml:space="preserve"> </w:t>
      </w:r>
      <w:r>
        <w:t xml:space="preserve">predicted cancellations × passengers per train on the route gives passengers affected for prioritisation.</w:t>
      </w:r>
    </w:p>
    <w:bookmarkEnd w:id="40"/>
    <w:bookmarkStart w:id="44" w:name="results-2"/>
    <w:p>
      <w:pPr>
        <w:pStyle w:val="Heading3"/>
      </w:pPr>
      <w:r>
        <w:t xml:space="preserve">Results</w:t>
      </w:r>
    </w:p>
    <w:p>
      <w:pPr>
        <w:pStyle w:val="CaptionedFigure"/>
      </w:pPr>
      <w:r>
        <w:drawing>
          <wp:inline>
            <wp:extent cx="6286500" cy="4023360"/>
            <wp:effectExtent b="0" l="0" r="0" t="0"/>
            <wp:docPr descr="Bar chart comparing shares of passenger-km and track-km by region" title="" id="42" name="Picture"/>
            <a:graphic>
              <a:graphicData uri="http://schemas.openxmlformats.org/drawingml/2006/picture">
                <pic:pic>
                  <pic:nvPicPr>
                    <pic:cNvPr descr="figures/pkm_vs_track_by_region.png" id="43" name="Picture"/>
                    <pic:cNvPicPr>
                      <a:picLocks noChangeArrowheads="1" noChangeAspect="1"/>
                    </pic:cNvPicPr>
                  </pic:nvPicPr>
                  <pic:blipFill>
                    <a:blip r:embed="rId41"/>
                    <a:stretch>
                      <a:fillRect/>
                    </a:stretch>
                  </pic:blipFill>
                  <pic:spPr bwMode="auto">
                    <a:xfrm>
                      <a:off x="0" y="0"/>
                      <a:ext cx="6286500" cy="4023360"/>
                    </a:xfrm>
                    <a:prstGeom prst="rect">
                      <a:avLst/>
                    </a:prstGeom>
                    <a:noFill/>
                    <a:ln w="9525">
                      <a:noFill/>
                      <a:headEnd/>
                      <a:tailEnd/>
                    </a:ln>
                  </pic:spPr>
                </pic:pic>
              </a:graphicData>
            </a:graphic>
          </wp:inline>
        </w:drawing>
      </w:r>
    </w:p>
    <w:p>
      <w:pPr>
        <w:pStyle w:val="ImageCaption"/>
      </w:pPr>
      <w:r>
        <w:t xml:space="preserve">Share of GB passenger-km (blue) and of track-km (orange) by region. Each track section is assigned to the region of its nearest station.</w:t>
      </w:r>
    </w:p>
    <w:p>
      <w:pPr>
        <w:pStyle w:val="BodyText"/>
      </w:pPr>
      <w:r>
        <w:t xml:space="preserve">Passenger weights by region (Model B, 2024-25).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Passenger-km a year</w:t>
            </w:r>
          </w:p>
        </w:tc>
        <w:tc>
          <w:tcPr/>
          <w:p>
            <w:pPr>
              <w:pStyle w:val="Compact"/>
              <w:jc w:val="left"/>
            </w:pPr>
            <w:r>
              <w:t xml:space="preserve">Share of passenger-km</w:t>
            </w:r>
          </w:p>
        </w:tc>
        <w:tc>
          <w:tcPr/>
          <w:p>
            <w:pPr>
              <w:pStyle w:val="Compact"/>
              <w:jc w:val="left"/>
            </w:pPr>
            <w:r>
              <w:t xml:space="preserve">Share of track-km</w:t>
            </w:r>
          </w:p>
        </w:tc>
        <w:tc>
          <w:tcPr/>
          <w:p>
            <w:pPr>
              <w:pStyle w:val="Compact"/>
              <w:jc w:val="left"/>
            </w:pPr>
            <w:r>
              <w:t xml:space="preserve">Weekday passengers per track-km</w:t>
            </w:r>
          </w:p>
        </w:tc>
      </w:tr>
      <w:tr>
        <w:tc>
          <w:tcPr/>
          <w:p>
            <w:pPr>
              <w:pStyle w:val="Compact"/>
              <w:jc w:val="left"/>
            </w:pPr>
            <w:r>
              <w:t xml:space="preserve">London</w:t>
            </w:r>
          </w:p>
        </w:tc>
        <w:tc>
          <w:tcPr/>
          <w:p>
            <w:pPr>
              <w:pStyle w:val="Compact"/>
              <w:jc w:val="left"/>
            </w:pPr>
            <w:r>
              <w:t xml:space="preserve">15.5 bn</w:t>
            </w:r>
          </w:p>
        </w:tc>
        <w:tc>
          <w:tcPr/>
          <w:p>
            <w:pPr>
              <w:pStyle w:val="Compact"/>
              <w:jc w:val="left"/>
            </w:pPr>
            <w:r>
              <w:t xml:space="preserve">24.2%</w:t>
            </w:r>
          </w:p>
        </w:tc>
        <w:tc>
          <w:tcPr/>
          <w:p>
            <w:pPr>
              <w:pStyle w:val="Compact"/>
              <w:jc w:val="left"/>
            </w:pPr>
            <w:r>
              <w:t xml:space="preserve">8.2%</w:t>
            </w:r>
          </w:p>
        </w:tc>
        <w:tc>
          <w:tcPr/>
          <w:p>
            <w:pPr>
              <w:pStyle w:val="Compact"/>
              <w:jc w:val="left"/>
            </w:pPr>
            <w:r>
              <w:t xml:space="preserve">16,410</w:t>
            </w:r>
          </w:p>
        </w:tc>
      </w:tr>
      <w:tr>
        <w:tc>
          <w:tcPr/>
          <w:p>
            <w:pPr>
              <w:pStyle w:val="Compact"/>
              <w:jc w:val="left"/>
            </w:pPr>
            <w:r>
              <w:t xml:space="preserve">South East</w:t>
            </w:r>
          </w:p>
        </w:tc>
        <w:tc>
          <w:tcPr/>
          <w:p>
            <w:pPr>
              <w:pStyle w:val="Compact"/>
              <w:jc w:val="left"/>
            </w:pPr>
            <w:r>
              <w:t xml:space="preserve">10.4 bn</w:t>
            </w:r>
          </w:p>
        </w:tc>
        <w:tc>
          <w:tcPr/>
          <w:p>
            <w:pPr>
              <w:pStyle w:val="Compact"/>
              <w:jc w:val="left"/>
            </w:pPr>
            <w:r>
              <w:t xml:space="preserve">16.2%</w:t>
            </w:r>
          </w:p>
        </w:tc>
        <w:tc>
          <w:tcPr/>
          <w:p>
            <w:pPr>
              <w:pStyle w:val="Compact"/>
              <w:jc w:val="left"/>
            </w:pPr>
            <w:r>
              <w:t xml:space="preserve">16.1%</w:t>
            </w:r>
          </w:p>
        </w:tc>
        <w:tc>
          <w:tcPr/>
          <w:p>
            <w:pPr>
              <w:pStyle w:val="Compact"/>
              <w:jc w:val="left"/>
            </w:pPr>
            <w:r>
              <w:t xml:space="preserve">5,566</w:t>
            </w:r>
          </w:p>
        </w:tc>
      </w:tr>
      <w:tr>
        <w:tc>
          <w:tcPr/>
          <w:p>
            <w:pPr>
              <w:pStyle w:val="Compact"/>
              <w:jc w:val="left"/>
            </w:pPr>
            <w:r>
              <w:t xml:space="preserve">East of England</w:t>
            </w:r>
          </w:p>
        </w:tc>
        <w:tc>
          <w:tcPr/>
          <w:p>
            <w:pPr>
              <w:pStyle w:val="Compact"/>
              <w:jc w:val="left"/>
            </w:pPr>
            <w:r>
              <w:t xml:space="preserve">9.4 bn</w:t>
            </w:r>
          </w:p>
        </w:tc>
        <w:tc>
          <w:tcPr/>
          <w:p>
            <w:pPr>
              <w:pStyle w:val="Compact"/>
              <w:jc w:val="left"/>
            </w:pPr>
            <w:r>
              <w:t xml:space="preserve">14.7%</w:t>
            </w:r>
          </w:p>
        </w:tc>
        <w:tc>
          <w:tcPr/>
          <w:p>
            <w:pPr>
              <w:pStyle w:val="Compact"/>
              <w:jc w:val="left"/>
            </w:pPr>
            <w:r>
              <w:t xml:space="preserve">8.8%</w:t>
            </w:r>
          </w:p>
        </w:tc>
        <w:tc>
          <w:tcPr/>
          <w:p>
            <w:pPr>
              <w:pStyle w:val="Compact"/>
              <w:jc w:val="left"/>
            </w:pPr>
            <w:r>
              <w:t xml:space="preserve">9,118</w:t>
            </w:r>
          </w:p>
        </w:tc>
      </w:tr>
      <w:tr>
        <w:tc>
          <w:tcPr/>
          <w:p>
            <w:pPr>
              <w:pStyle w:val="Compact"/>
              <w:jc w:val="left"/>
            </w:pPr>
            <w:r>
              <w:t xml:space="preserve">Scotland</w:t>
            </w:r>
          </w:p>
        </w:tc>
        <w:tc>
          <w:tcPr/>
          <w:p>
            <w:pPr>
              <w:pStyle w:val="Compact"/>
              <w:jc w:val="left"/>
            </w:pPr>
            <w:r>
              <w:t xml:space="preserve">4.8 bn</w:t>
            </w:r>
          </w:p>
        </w:tc>
        <w:tc>
          <w:tcPr/>
          <w:p>
            <w:pPr>
              <w:pStyle w:val="Compact"/>
              <w:jc w:val="left"/>
            </w:pPr>
            <w:r>
              <w:t xml:space="preserve">7.4%</w:t>
            </w:r>
          </w:p>
        </w:tc>
        <w:tc>
          <w:tcPr/>
          <w:p>
            <w:pPr>
              <w:pStyle w:val="Compact"/>
              <w:jc w:val="left"/>
            </w:pPr>
            <w:r>
              <w:t xml:space="preserve">13.0%</w:t>
            </w:r>
          </w:p>
        </w:tc>
        <w:tc>
          <w:tcPr/>
          <w:p>
            <w:pPr>
              <w:pStyle w:val="Compact"/>
              <w:jc w:val="left"/>
            </w:pPr>
            <w:r>
              <w:t xml:space="preserve">3,098</w:t>
            </w:r>
          </w:p>
        </w:tc>
      </w:tr>
      <w:tr>
        <w:tc>
          <w:tcPr/>
          <w:p>
            <w:pPr>
              <w:pStyle w:val="Compact"/>
              <w:jc w:val="left"/>
            </w:pPr>
            <w:r>
              <w:t xml:space="preserve">West Midlands</w:t>
            </w:r>
          </w:p>
        </w:tc>
        <w:tc>
          <w:tcPr/>
          <w:p>
            <w:pPr>
              <w:pStyle w:val="Compact"/>
              <w:jc w:val="left"/>
            </w:pPr>
            <w:r>
              <w:t xml:space="preserve">4.7 bn</w:t>
            </w:r>
          </w:p>
        </w:tc>
        <w:tc>
          <w:tcPr/>
          <w:p>
            <w:pPr>
              <w:pStyle w:val="Compact"/>
              <w:jc w:val="left"/>
            </w:pPr>
            <w:r>
              <w:t xml:space="preserve">7.4%</w:t>
            </w:r>
          </w:p>
        </w:tc>
        <w:tc>
          <w:tcPr/>
          <w:p>
            <w:pPr>
              <w:pStyle w:val="Compact"/>
              <w:jc w:val="left"/>
            </w:pPr>
            <w:r>
              <w:t xml:space="preserve">7.8%</w:t>
            </w:r>
          </w:p>
        </w:tc>
        <w:tc>
          <w:tcPr/>
          <w:p>
            <w:pPr>
              <w:pStyle w:val="Compact"/>
              <w:jc w:val="left"/>
            </w:pPr>
            <w:r>
              <w:t xml:space="preserve">5,273</w:t>
            </w:r>
          </w:p>
        </w:tc>
      </w:tr>
      <w:tr>
        <w:tc>
          <w:tcPr/>
          <w:p>
            <w:pPr>
              <w:pStyle w:val="Compact"/>
              <w:jc w:val="left"/>
            </w:pPr>
            <w:r>
              <w:t xml:space="preserve">North West</w:t>
            </w:r>
          </w:p>
        </w:tc>
        <w:tc>
          <w:tcPr/>
          <w:p>
            <w:pPr>
              <w:pStyle w:val="Compact"/>
              <w:jc w:val="left"/>
            </w:pPr>
            <w:r>
              <w:t xml:space="preserve">4.6 bn</w:t>
            </w:r>
          </w:p>
        </w:tc>
        <w:tc>
          <w:tcPr/>
          <w:p>
            <w:pPr>
              <w:pStyle w:val="Compact"/>
              <w:jc w:val="left"/>
            </w:pPr>
            <w:r>
              <w:t xml:space="preserve">7.1%</w:t>
            </w:r>
          </w:p>
        </w:tc>
        <w:tc>
          <w:tcPr/>
          <w:p>
            <w:pPr>
              <w:pStyle w:val="Compact"/>
              <w:jc w:val="left"/>
            </w:pPr>
            <w:r>
              <w:t xml:space="preserve">10.1%</w:t>
            </w:r>
          </w:p>
        </w:tc>
        <w:tc>
          <w:tcPr/>
          <w:p>
            <w:pPr>
              <w:pStyle w:val="Compact"/>
              <w:jc w:val="left"/>
            </w:pPr>
            <w:r>
              <w:t xml:space="preserve">3,868</w:t>
            </w:r>
          </w:p>
        </w:tc>
      </w:tr>
      <w:tr>
        <w:tc>
          <w:tcPr/>
          <w:p>
            <w:pPr>
              <w:pStyle w:val="Compact"/>
              <w:jc w:val="left"/>
            </w:pPr>
            <w:r>
              <w:t xml:space="preserve">East Midlands</w:t>
            </w:r>
          </w:p>
        </w:tc>
        <w:tc>
          <w:tcPr/>
          <w:p>
            <w:pPr>
              <w:pStyle w:val="Compact"/>
              <w:jc w:val="left"/>
            </w:pPr>
            <w:r>
              <w:t xml:space="preserve">4.6 bn</w:t>
            </w:r>
          </w:p>
        </w:tc>
        <w:tc>
          <w:tcPr/>
          <w:p>
            <w:pPr>
              <w:pStyle w:val="Compact"/>
              <w:jc w:val="left"/>
            </w:pPr>
            <w:r>
              <w:t xml:space="preserve">7.1%</w:t>
            </w:r>
          </w:p>
        </w:tc>
        <w:tc>
          <w:tcPr/>
          <w:p>
            <w:pPr>
              <w:pStyle w:val="Compact"/>
              <w:jc w:val="left"/>
            </w:pPr>
            <w:r>
              <w:t xml:space="preserve">8.0%</w:t>
            </w:r>
          </w:p>
        </w:tc>
        <w:tc>
          <w:tcPr/>
          <w:p>
            <w:pPr>
              <w:pStyle w:val="Compact"/>
              <w:jc w:val="left"/>
            </w:pPr>
            <w:r>
              <w:t xml:space="preserve">4,869</w:t>
            </w:r>
          </w:p>
        </w:tc>
      </w:tr>
      <w:tr>
        <w:tc>
          <w:tcPr/>
          <w:p>
            <w:pPr>
              <w:pStyle w:val="Compact"/>
              <w:jc w:val="left"/>
            </w:pPr>
            <w:r>
              <w:t xml:space="preserve">Yorkshire and The Humber</w:t>
            </w:r>
          </w:p>
        </w:tc>
        <w:tc>
          <w:tcPr/>
          <w:p>
            <w:pPr>
              <w:pStyle w:val="Compact"/>
              <w:jc w:val="left"/>
            </w:pPr>
            <w:r>
              <w:t xml:space="preserve">3.8 bn</w:t>
            </w:r>
          </w:p>
        </w:tc>
        <w:tc>
          <w:tcPr/>
          <w:p>
            <w:pPr>
              <w:pStyle w:val="Compact"/>
              <w:jc w:val="left"/>
            </w:pPr>
            <w:r>
              <w:t xml:space="preserve">5.9%</w:t>
            </w:r>
          </w:p>
        </w:tc>
        <w:tc>
          <w:tcPr/>
          <w:p>
            <w:pPr>
              <w:pStyle w:val="Compact"/>
              <w:jc w:val="left"/>
            </w:pPr>
            <w:r>
              <w:t xml:space="preserve">9.7%</w:t>
            </w:r>
          </w:p>
        </w:tc>
        <w:tc>
          <w:tcPr/>
          <w:p>
            <w:pPr>
              <w:pStyle w:val="Compact"/>
              <w:jc w:val="left"/>
            </w:pPr>
            <w:r>
              <w:t xml:space="preserve">3,313</w:t>
            </w:r>
          </w:p>
        </w:tc>
      </w:tr>
      <w:tr>
        <w:tc>
          <w:tcPr/>
          <w:p>
            <w:pPr>
              <w:pStyle w:val="Compact"/>
              <w:jc w:val="left"/>
            </w:pPr>
            <w:r>
              <w:t xml:space="preserve">South West</w:t>
            </w:r>
          </w:p>
        </w:tc>
        <w:tc>
          <w:tcPr/>
          <w:p>
            <w:pPr>
              <w:pStyle w:val="Compact"/>
              <w:jc w:val="left"/>
            </w:pPr>
            <w:r>
              <w:t xml:space="preserve">3.6 bn</w:t>
            </w:r>
          </w:p>
        </w:tc>
        <w:tc>
          <w:tcPr/>
          <w:p>
            <w:pPr>
              <w:pStyle w:val="Compact"/>
              <w:jc w:val="left"/>
            </w:pPr>
            <w:r>
              <w:t xml:space="preserve">5.6%</w:t>
            </w:r>
          </w:p>
        </w:tc>
        <w:tc>
          <w:tcPr/>
          <w:p>
            <w:pPr>
              <w:pStyle w:val="Compact"/>
              <w:jc w:val="left"/>
            </w:pPr>
            <w:r>
              <w:t xml:space="preserve">8.5%</w:t>
            </w:r>
          </w:p>
        </w:tc>
        <w:tc>
          <w:tcPr/>
          <w:p>
            <w:pPr>
              <w:pStyle w:val="Compact"/>
              <w:jc w:val="left"/>
            </w:pPr>
            <w:r>
              <w:t xml:space="preserve">3,588</w:t>
            </w:r>
          </w:p>
        </w:tc>
      </w:tr>
      <w:tr>
        <w:tc>
          <w:tcPr/>
          <w:p>
            <w:pPr>
              <w:pStyle w:val="Compact"/>
              <w:jc w:val="left"/>
            </w:pPr>
            <w:r>
              <w:t xml:space="preserve">North East</w:t>
            </w:r>
          </w:p>
        </w:tc>
        <w:tc>
          <w:tcPr/>
          <w:p>
            <w:pPr>
              <w:pStyle w:val="Compact"/>
              <w:jc w:val="left"/>
            </w:pPr>
            <w:r>
              <w:t xml:space="preserve">1.6 bn</w:t>
            </w:r>
          </w:p>
        </w:tc>
        <w:tc>
          <w:tcPr/>
          <w:p>
            <w:pPr>
              <w:pStyle w:val="Compact"/>
              <w:jc w:val="left"/>
            </w:pPr>
            <w:r>
              <w:t xml:space="preserve">2.5%</w:t>
            </w:r>
          </w:p>
        </w:tc>
        <w:tc>
          <w:tcPr/>
          <w:p>
            <w:pPr>
              <w:pStyle w:val="Compact"/>
              <w:jc w:val="left"/>
            </w:pPr>
            <w:r>
              <w:t xml:space="preserve">3.6%</w:t>
            </w:r>
          </w:p>
        </w:tc>
        <w:tc>
          <w:tcPr/>
          <w:p>
            <w:pPr>
              <w:pStyle w:val="Compact"/>
              <w:jc w:val="left"/>
            </w:pPr>
            <w:r>
              <w:t xml:space="preserve">3,790</w:t>
            </w:r>
          </w:p>
        </w:tc>
      </w:tr>
      <w:tr>
        <w:tc>
          <w:tcPr/>
          <w:p>
            <w:pPr>
              <w:pStyle w:val="Compact"/>
              <w:jc w:val="left"/>
            </w:pPr>
            <w:r>
              <w:t xml:space="preserve">Wales</w:t>
            </w:r>
          </w:p>
        </w:tc>
        <w:tc>
          <w:tcPr/>
          <w:p>
            <w:pPr>
              <w:pStyle w:val="Compact"/>
              <w:jc w:val="left"/>
            </w:pPr>
            <w:r>
              <w:t xml:space="preserve">1.1 bn</w:t>
            </w:r>
          </w:p>
        </w:tc>
        <w:tc>
          <w:tcPr/>
          <w:p>
            <w:pPr>
              <w:pStyle w:val="Compact"/>
              <w:jc w:val="left"/>
            </w:pPr>
            <w:r>
              <w:t xml:space="preserve">1.7%</w:t>
            </w:r>
          </w:p>
        </w:tc>
        <w:tc>
          <w:tcPr/>
          <w:p>
            <w:pPr>
              <w:pStyle w:val="Compact"/>
              <w:jc w:val="left"/>
            </w:pPr>
            <w:r>
              <w:t xml:space="preserve">6.4%</w:t>
            </w:r>
          </w:p>
        </w:tc>
        <w:tc>
          <w:tcPr/>
          <w:p>
            <w:pPr>
              <w:pStyle w:val="Compact"/>
              <w:jc w:val="left"/>
            </w:pPr>
            <w:r>
              <w:t xml:space="preserve">1,476</w:t>
            </w:r>
          </w:p>
        </w:tc>
      </w:tr>
    </w:tbl>
    <w:p>
      <w:pPr>
        <w:pStyle w:val="BodyText"/>
      </w:pPr>
      <w:r>
        <w:t xml:space="preserve">London carries 24% of passenger-km on 8% of track, and the South East and East of England are also heavy. Scotland, Wales and Yorkshire carry much less than their share of track. A train-weighted national T3 therefore gives a different answer from a passenger-weighted one whenever performance differs between these areas.</w:t>
      </w:r>
    </w:p>
    <w:p>
      <w:pPr>
        <w:pStyle w:val="BodyText"/>
      </w:pPr>
      <w:r>
        <w:t xml:space="preserve">Ten named lines with the most passenger-km. The file has the top 40.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Named line (OSM)</w:t>
            </w:r>
          </w:p>
        </w:tc>
        <w:tc>
          <w:tcPr/>
          <w:p>
            <w:pPr>
              <w:pStyle w:val="Compact"/>
              <w:jc w:val="left"/>
            </w:pPr>
            <w:r>
              <w:t xml:space="preserve">Passenger-km a year</w:t>
            </w:r>
          </w:p>
        </w:tc>
        <w:tc>
          <w:tcPr/>
          <w:p>
            <w:pPr>
              <w:pStyle w:val="Compact"/>
              <w:jc w:val="left"/>
            </w:pPr>
            <w:r>
              <w:t xml:space="preserve">Share of GB passenger-km</w:t>
            </w:r>
          </w:p>
        </w:tc>
        <w:tc>
          <w:tcPr/>
          <w:p>
            <w:pPr>
              <w:pStyle w:val="Compact"/>
              <w:jc w:val="left"/>
            </w:pPr>
            <w:r>
              <w:t xml:space="preserve">Busiest section, weekday</w:t>
            </w:r>
          </w:p>
        </w:tc>
      </w:tr>
      <w:tr>
        <w:tc>
          <w:tcPr/>
          <w:p>
            <w:pPr>
              <w:pStyle w:val="Compact"/>
              <w:jc w:val="left"/>
            </w:pPr>
            <w:r>
              <w:t xml:space="preserve">East Coast Main Line</w:t>
            </w:r>
          </w:p>
        </w:tc>
        <w:tc>
          <w:tcPr/>
          <w:p>
            <w:pPr>
              <w:pStyle w:val="Compact"/>
              <w:jc w:val="left"/>
            </w:pPr>
            <w:r>
              <w:t xml:space="preserve">9.45 bn</w:t>
            </w:r>
          </w:p>
        </w:tc>
        <w:tc>
          <w:tcPr/>
          <w:p>
            <w:pPr>
              <w:pStyle w:val="Compact"/>
              <w:jc w:val="left"/>
            </w:pPr>
            <w:r>
              <w:t xml:space="preserve">14.8%</w:t>
            </w:r>
          </w:p>
        </w:tc>
        <w:tc>
          <w:tcPr/>
          <w:p>
            <w:pPr>
              <w:pStyle w:val="Compact"/>
              <w:jc w:val="left"/>
            </w:pPr>
            <w:r>
              <w:t xml:space="preserve">119,240</w:t>
            </w:r>
          </w:p>
        </w:tc>
      </w:tr>
      <w:tr>
        <w:tc>
          <w:tcPr/>
          <w:p>
            <w:pPr>
              <w:pStyle w:val="Compact"/>
              <w:jc w:val="left"/>
            </w:pPr>
            <w:r>
              <w:t xml:space="preserve">West Coast Main Line</w:t>
            </w:r>
          </w:p>
        </w:tc>
        <w:tc>
          <w:tcPr/>
          <w:p>
            <w:pPr>
              <w:pStyle w:val="Compact"/>
              <w:jc w:val="left"/>
            </w:pPr>
            <w:r>
              <w:t xml:space="preserve">6.84 bn</w:t>
            </w:r>
          </w:p>
        </w:tc>
        <w:tc>
          <w:tcPr/>
          <w:p>
            <w:pPr>
              <w:pStyle w:val="Compact"/>
              <w:jc w:val="left"/>
            </w:pPr>
            <w:r>
              <w:t xml:space="preserve">10.7%</w:t>
            </w:r>
          </w:p>
        </w:tc>
        <w:tc>
          <w:tcPr/>
          <w:p>
            <w:pPr>
              <w:pStyle w:val="Compact"/>
              <w:jc w:val="left"/>
            </w:pPr>
            <w:r>
              <w:t xml:space="preserve">113,616</w:t>
            </w:r>
          </w:p>
        </w:tc>
      </w:tr>
      <w:tr>
        <w:tc>
          <w:tcPr/>
          <w:p>
            <w:pPr>
              <w:pStyle w:val="Compact"/>
              <w:jc w:val="left"/>
            </w:pPr>
            <w:r>
              <w:t xml:space="preserve">Great Western Main Line</w:t>
            </w:r>
          </w:p>
        </w:tc>
        <w:tc>
          <w:tcPr/>
          <w:p>
            <w:pPr>
              <w:pStyle w:val="Compact"/>
              <w:jc w:val="left"/>
            </w:pPr>
            <w:r>
              <w:t xml:space="preserve">3.77 bn</w:t>
            </w:r>
          </w:p>
        </w:tc>
        <w:tc>
          <w:tcPr/>
          <w:p>
            <w:pPr>
              <w:pStyle w:val="Compact"/>
              <w:jc w:val="left"/>
            </w:pPr>
            <w:r>
              <w:t xml:space="preserve">5.9%</w:t>
            </w:r>
          </w:p>
        </w:tc>
        <w:tc>
          <w:tcPr/>
          <w:p>
            <w:pPr>
              <w:pStyle w:val="Compact"/>
              <w:jc w:val="left"/>
            </w:pPr>
            <w:r>
              <w:t xml:space="preserve">155,292</w:t>
            </w:r>
          </w:p>
        </w:tc>
      </w:tr>
      <w:tr>
        <w:tc>
          <w:tcPr/>
          <w:p>
            <w:pPr>
              <w:pStyle w:val="Compact"/>
              <w:jc w:val="left"/>
            </w:pPr>
            <w:r>
              <w:t xml:space="preserve">South West Main Line</w:t>
            </w:r>
          </w:p>
        </w:tc>
        <w:tc>
          <w:tcPr/>
          <w:p>
            <w:pPr>
              <w:pStyle w:val="Compact"/>
              <w:jc w:val="left"/>
            </w:pPr>
            <w:r>
              <w:t xml:space="preserve">2.82 bn</w:t>
            </w:r>
          </w:p>
        </w:tc>
        <w:tc>
          <w:tcPr/>
          <w:p>
            <w:pPr>
              <w:pStyle w:val="Compact"/>
              <w:jc w:val="left"/>
            </w:pPr>
            <w:r>
              <w:t xml:space="preserve">4.4%</w:t>
            </w:r>
          </w:p>
        </w:tc>
        <w:tc>
          <w:tcPr/>
          <w:p>
            <w:pPr>
              <w:pStyle w:val="Compact"/>
              <w:jc w:val="left"/>
            </w:pPr>
            <w:r>
              <w:t xml:space="preserve">213,638</w:t>
            </w:r>
          </w:p>
        </w:tc>
      </w:tr>
      <w:tr>
        <w:tc>
          <w:tcPr/>
          <w:p>
            <w:pPr>
              <w:pStyle w:val="Compact"/>
              <w:jc w:val="left"/>
            </w:pPr>
            <w:r>
              <w:t xml:space="preserve">Midland Main Line</w:t>
            </w:r>
          </w:p>
        </w:tc>
        <w:tc>
          <w:tcPr/>
          <w:p>
            <w:pPr>
              <w:pStyle w:val="Compact"/>
              <w:jc w:val="left"/>
            </w:pPr>
            <w:r>
              <w:t xml:space="preserve">2.54 bn</w:t>
            </w:r>
          </w:p>
        </w:tc>
        <w:tc>
          <w:tcPr/>
          <w:p>
            <w:pPr>
              <w:pStyle w:val="Compact"/>
              <w:jc w:val="left"/>
            </w:pPr>
            <w:r>
              <w:t xml:space="preserve">4.0%</w:t>
            </w:r>
          </w:p>
        </w:tc>
        <w:tc>
          <w:tcPr/>
          <w:p>
            <w:pPr>
              <w:pStyle w:val="Compact"/>
              <w:jc w:val="left"/>
            </w:pPr>
            <w:r>
              <w:t xml:space="preserve">96,086</w:t>
            </w:r>
          </w:p>
        </w:tc>
      </w:tr>
      <w:tr>
        <w:tc>
          <w:tcPr/>
          <w:p>
            <w:pPr>
              <w:pStyle w:val="Compact"/>
              <w:jc w:val="left"/>
            </w:pPr>
            <w:r>
              <w:t xml:space="preserve">Brighton Main Line</w:t>
            </w:r>
          </w:p>
        </w:tc>
        <w:tc>
          <w:tcPr/>
          <w:p>
            <w:pPr>
              <w:pStyle w:val="Compact"/>
              <w:jc w:val="left"/>
            </w:pPr>
            <w:r>
              <w:t xml:space="preserve">2.13 bn</w:t>
            </w:r>
          </w:p>
        </w:tc>
        <w:tc>
          <w:tcPr/>
          <w:p>
            <w:pPr>
              <w:pStyle w:val="Compact"/>
              <w:jc w:val="left"/>
            </w:pPr>
            <w:r>
              <w:t xml:space="preserve">3.3%</w:t>
            </w:r>
          </w:p>
        </w:tc>
        <w:tc>
          <w:tcPr/>
          <w:p>
            <w:pPr>
              <w:pStyle w:val="Compact"/>
              <w:jc w:val="left"/>
            </w:pPr>
            <w:r>
              <w:t xml:space="preserve">173,804</w:t>
            </w:r>
          </w:p>
        </w:tc>
      </w:tr>
      <w:tr>
        <w:tc>
          <w:tcPr/>
          <w:p>
            <w:pPr>
              <w:pStyle w:val="Compact"/>
              <w:jc w:val="left"/>
            </w:pPr>
            <w:r>
              <w:t xml:space="preserve">Great Eastern Main Line</w:t>
            </w:r>
          </w:p>
        </w:tc>
        <w:tc>
          <w:tcPr/>
          <w:p>
            <w:pPr>
              <w:pStyle w:val="Compact"/>
              <w:jc w:val="left"/>
            </w:pPr>
            <w:r>
              <w:t xml:space="preserve">1.70 bn</w:t>
            </w:r>
          </w:p>
        </w:tc>
        <w:tc>
          <w:tcPr/>
          <w:p>
            <w:pPr>
              <w:pStyle w:val="Compact"/>
              <w:jc w:val="left"/>
            </w:pPr>
            <w:r>
              <w:t xml:space="preserve">2.7%</w:t>
            </w:r>
          </w:p>
        </w:tc>
        <w:tc>
          <w:tcPr/>
          <w:p>
            <w:pPr>
              <w:pStyle w:val="Compact"/>
              <w:jc w:val="left"/>
            </w:pPr>
            <w:r>
              <w:t xml:space="preserve">194,897</w:t>
            </w:r>
          </w:p>
        </w:tc>
      </w:tr>
      <w:tr>
        <w:tc>
          <w:tcPr/>
          <w:p>
            <w:pPr>
              <w:pStyle w:val="Compact"/>
              <w:jc w:val="left"/>
            </w:pPr>
            <w:r>
              <w:t xml:space="preserve">Elizabeth Line</w:t>
            </w:r>
          </w:p>
        </w:tc>
        <w:tc>
          <w:tcPr/>
          <w:p>
            <w:pPr>
              <w:pStyle w:val="Compact"/>
              <w:jc w:val="left"/>
            </w:pPr>
            <w:r>
              <w:t xml:space="preserve">1.48 bn</w:t>
            </w:r>
          </w:p>
        </w:tc>
        <w:tc>
          <w:tcPr/>
          <w:p>
            <w:pPr>
              <w:pStyle w:val="Compact"/>
              <w:jc w:val="left"/>
            </w:pPr>
            <w:r>
              <w:t xml:space="preserve">2.3%</w:t>
            </w:r>
          </w:p>
        </w:tc>
        <w:tc>
          <w:tcPr/>
          <w:p>
            <w:pPr>
              <w:pStyle w:val="Compact"/>
              <w:jc w:val="left"/>
            </w:pPr>
            <w:r>
              <w:t xml:space="preserve">145,732</w:t>
            </w:r>
          </w:p>
        </w:tc>
      </w:tr>
      <w:tr>
        <w:tc>
          <w:tcPr/>
          <w:p>
            <w:pPr>
              <w:pStyle w:val="Compact"/>
              <w:jc w:val="left"/>
            </w:pPr>
            <w:r>
              <w:t xml:space="preserve">South Eastern Main Line</w:t>
            </w:r>
          </w:p>
        </w:tc>
        <w:tc>
          <w:tcPr/>
          <w:p>
            <w:pPr>
              <w:pStyle w:val="Compact"/>
              <w:jc w:val="left"/>
            </w:pPr>
            <w:r>
              <w:t xml:space="preserve">1.08 bn</w:t>
            </w:r>
          </w:p>
        </w:tc>
        <w:tc>
          <w:tcPr/>
          <w:p>
            <w:pPr>
              <w:pStyle w:val="Compact"/>
              <w:jc w:val="left"/>
            </w:pPr>
            <w:r>
              <w:t xml:space="preserve">1.7%</w:t>
            </w:r>
          </w:p>
        </w:tc>
        <w:tc>
          <w:tcPr/>
          <w:p>
            <w:pPr>
              <w:pStyle w:val="Compact"/>
              <w:jc w:val="left"/>
            </w:pPr>
            <w:r>
              <w:t xml:space="preserve">192,616</w:t>
            </w:r>
          </w:p>
        </w:tc>
      </w:tr>
      <w:tr>
        <w:tc>
          <w:tcPr/>
          <w:p>
            <w:pPr>
              <w:pStyle w:val="Compact"/>
              <w:jc w:val="left"/>
            </w:pPr>
            <w:r>
              <w:t xml:space="preserve">South Wales Main Line</w:t>
            </w:r>
          </w:p>
        </w:tc>
        <w:tc>
          <w:tcPr/>
          <w:p>
            <w:pPr>
              <w:pStyle w:val="Compact"/>
              <w:jc w:val="left"/>
            </w:pPr>
            <w:r>
              <w:t xml:space="preserve">0.77 bn</w:t>
            </w:r>
          </w:p>
        </w:tc>
        <w:tc>
          <w:tcPr/>
          <w:p>
            <w:pPr>
              <w:pStyle w:val="Compact"/>
              <w:jc w:val="left"/>
            </w:pPr>
            <w:r>
              <w:t xml:space="preserve">1.2%</w:t>
            </w:r>
          </w:p>
        </w:tc>
        <w:tc>
          <w:tcPr/>
          <w:p>
            <w:pPr>
              <w:pStyle w:val="Compact"/>
              <w:jc w:val="left"/>
            </w:pPr>
            <w:r>
              <w:t xml:space="preserve">25,667</w:t>
            </w:r>
          </w:p>
        </w:tc>
      </w:tr>
    </w:tbl>
    <w:p>
      <w:pPr>
        <w:pStyle w:val="BodyText"/>
      </w:pPr>
      <w:r>
        <w:t xml:space="preserve">Weighting a route-period table takes two lines:</w:t>
      </w:r>
    </w:p>
    <w:p>
      <w:pPr>
        <w:pStyle w:val="BodyText"/>
      </w:pPr>
      <w:r>
        <w:t xml:space="preserve">w = pd.read_csv("examples/performance_weighting/outputs/weights_by_region.csv").set_index("region").pkm_share</w:t>
      </w:r>
      <w:r>
        <w:t xml:space="preserve"> </w:t>
      </w:r>
      <w:r>
        <w:t xml:space="preserve">df["w"] = df.area.map(w); national = (df.t3 * df.w).groupby(df.period).sum() / df.w.groupby(df.period).sum()</w:t>
      </w:r>
    </w:p>
    <w:bookmarkEnd w:id="44"/>
    <w:bookmarkStart w:id="45" w:name="caveats-1"/>
    <w:p>
      <w:pPr>
        <w:pStyle w:val="Heading3"/>
      </w:pPr>
      <w:r>
        <w:t xml:space="preserve">Caveats</w:t>
      </w:r>
    </w:p>
    <w:p>
      <w:pPr>
        <w:numPr>
          <w:ilvl w:val="0"/>
          <w:numId w:val="1007"/>
        </w:numPr>
        <w:pStyle w:val="Compact"/>
      </w:pPr>
      <w:r>
        <w:t xml:space="preserve">The project reports by Network Rail route, while the example uses ORR regions as a stand-in. Network Rail route boundaries are part of roadmap item R6; with them the same script gives weights by route directly.</w:t>
      </w:r>
    </w:p>
    <w:p>
      <w:pPr>
        <w:numPr>
          <w:ilvl w:val="0"/>
          <w:numId w:val="1007"/>
        </w:numPr>
        <w:pStyle w:val="Compact"/>
      </w:pPr>
      <w:r>
        <w:t xml:space="preserve">Weights are annual all-day passenger-km. Period (four-weekly) and peak weights need LENNON period data and time-of-day profiles (R2, R4).</w:t>
      </w:r>
    </w:p>
    <w:p>
      <w:pPr>
        <w:numPr>
          <w:ilvl w:val="0"/>
          <w:numId w:val="1007"/>
        </w:numPr>
        <w:pStyle w:val="Compact"/>
      </w:pPr>
      <w:r>
        <w:t xml:space="preserve">Passengers per train, needed to convert cancellations to passengers affected, comes with train-level assignment (R4). Until then, passenger-km divided by train-km from the SCHEDULE feed (R5 produces train counts) is a reasonable interim.</w:t>
      </w:r>
    </w:p>
    <w:bookmarkEnd w:id="45"/>
    <w:bookmarkEnd w:id="46"/>
    <w:bookmarkStart w:id="47" w:name="swr"/>
    <w:p>
      <w:pPr>
        <w:pStyle w:val="Heading2"/>
      </w:pPr>
      <w:r>
        <w:t xml:space="preserve">SWR Service Recovery</w:t>
      </w:r>
    </w:p>
    <w:p>
      <w:pPr>
        <w:pStyle w:val="FirstParagraph"/>
      </w:pPr>
      <w:r>
        <w:t xml:space="preserve">The SWR Service Recovery proof of concept was the model's first application and is maintained in its own repository (</w:t>
      </w:r>
      <w:r>
        <w:rPr>
          <w:rStyle w:val="VerbatimChar"/>
        </w:rPr>
        <w:t xml:space="preserve">swr-service-recovery-flows</w:t>
      </w:r>
      <w:r>
        <w:t xml:space="preserve">). It uses railflow for station throughput and screenline flows as the passenger exposure in incident models, to build a passenger-based location prior for the incident generator, to estimate passengers affected by incidents and recovery actions, and to weigh the cost of skipping stations in fail-to-stop decisions. Its report,</w:t>
      </w:r>
      <w:r>
        <w:t xml:space="preserve"> </w:t>
      </w:r>
      <w:r>
        <w:rPr>
          <w:iCs/>
          <w:i/>
        </w:rPr>
        <w:t xml:space="preserve">Network flows in the SWR Service Recovery POC</w:t>
      </w:r>
      <w:r>
        <w:t xml:space="preserve">, describes the results.</w:t>
      </w:r>
    </w:p>
    <w:bookmarkEnd w:id="47"/>
    <w:bookmarkStart w:id="48" w:name="next"/>
    <w:p>
      <w:pPr>
        <w:pStyle w:val="Heading2"/>
      </w:pPr>
      <w:r>
        <w:t xml:space="preserve">Next steps by project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w:t>
            </w:r>
          </w:p>
        </w:tc>
        <w:tc>
          <w:tcPr/>
          <w:p>
            <w:pPr>
              <w:pStyle w:val="Compact"/>
              <w:jc w:val="left"/>
            </w:pPr>
            <w:r>
              <w:t xml:space="preserve">Immediate use</w:t>
            </w:r>
          </w:p>
        </w:tc>
        <w:tc>
          <w:tcPr/>
          <w:p>
            <w:pPr>
              <w:pStyle w:val="Compact"/>
              <w:jc w:val="left"/>
            </w:pPr>
            <w:r>
              <w:t xml:space="preserve">Improves with roadmap item</w:t>
            </w:r>
          </w:p>
        </w:tc>
      </w:tr>
      <w:tr>
        <w:tc>
          <w:tcPr/>
          <w:p>
            <w:pPr>
              <w:pStyle w:val="Compact"/>
              <w:jc w:val="left"/>
            </w:pPr>
            <w:r>
              <w:t xml:space="preserve">Split Ticket Calculator</w:t>
            </w:r>
          </w:p>
        </w:tc>
        <w:tc>
          <w:tcPr/>
          <w:p>
            <w:pPr>
              <w:pStyle w:val="Compact"/>
              <w:jc w:val="left"/>
            </w:pPr>
            <w:r>
              <w:t xml:space="preserve">Run the example with</w:t>
            </w:r>
            <w:r>
              <w:t xml:space="preserve"> </w:t>
            </w:r>
            <w:r>
              <w:rPr>
                <w:rStyle w:val="VerbatimChar"/>
              </w:rPr>
              <w:t xml:space="preserve">--stc summary_results.csv</w:t>
            </w:r>
            <w:r>
              <w:t xml:space="preserve"> </w:t>
            </w:r>
            <w:r>
              <w:t xml:space="preserve">on the GWR results; review the top of the revenue-at-risk ranking</w:t>
            </w:r>
          </w:p>
        </w:tc>
        <w:tc>
          <w:tcPr/>
          <w:p>
            <w:pPr>
              <w:pStyle w:val="Compact"/>
              <w:jc w:val="left"/>
            </w:pPr>
            <w:r>
              <w:t xml:space="preserve">R2 (demand by product), R3 (routing by calling pattern), R1 (observed flows)</w:t>
            </w:r>
          </w:p>
        </w:tc>
      </w:tr>
      <w:tr>
        <w:tc>
          <w:tcPr/>
          <w:p>
            <w:pPr>
              <w:pStyle w:val="Compact"/>
              <w:jc w:val="left"/>
            </w:pPr>
            <w:r>
              <w:t xml:space="preserve">Flow Classification</w:t>
            </w:r>
          </w:p>
        </w:tc>
        <w:tc>
          <w:tcPr/>
          <w:p>
            <w:pPr>
              <w:pStyle w:val="Compact"/>
              <w:jc w:val="left"/>
            </w:pPr>
            <w:r>
              <w:t xml:space="preserve">Join network distance and modelled journeys to the PMS flows; report clusters by journeys</w:t>
            </w:r>
          </w:p>
        </w:tc>
        <w:tc>
          <w:tcPr/>
          <w:p>
            <w:pPr>
              <w:pStyle w:val="Compact"/>
              <w:jc w:val="left"/>
            </w:pPr>
            <w:r>
              <w:t xml:space="preserve">R1 and R2 (observed journeys by product and flow)</w:t>
            </w:r>
          </w:p>
        </w:tc>
      </w:tr>
      <w:tr>
        <w:tc>
          <w:tcPr/>
          <w:p>
            <w:pPr>
              <w:pStyle w:val="Compact"/>
              <w:jc w:val="left"/>
            </w:pPr>
            <w:r>
              <w:t xml:space="preserve">T3 &amp; Cancellation</w:t>
            </w:r>
          </w:p>
        </w:tc>
        <w:tc>
          <w:tcPr/>
          <w:p>
            <w:pPr>
              <w:pStyle w:val="Compact"/>
              <w:jc w:val="left"/>
            </w:pPr>
            <w:r>
              <w:t xml:space="preserve">Passenger-weighted national metrics; passenger-km sample weights</w:t>
            </w:r>
          </w:p>
        </w:tc>
        <w:tc>
          <w:tcPr/>
          <w:p>
            <w:pPr>
              <w:pStyle w:val="Compact"/>
              <w:jc w:val="left"/>
            </w:pPr>
            <w:r>
              <w:t xml:space="preserve">R6 (Network Rail routes), R4 and R5 (passengers and trains per route)</w:t>
            </w:r>
          </w:p>
        </w:tc>
      </w:tr>
      <w:tr>
        <w:tc>
          <w:tcPr/>
          <w:p>
            <w:pPr>
              <w:pStyle w:val="Compact"/>
              <w:jc w:val="left"/>
            </w:pPr>
            <w:r>
              <w:t xml:space="preserve">SWR Service Recovery</w:t>
            </w:r>
          </w:p>
        </w:tc>
        <w:tc>
          <w:tcPr/>
          <w:p>
            <w:pPr>
              <w:pStyle w:val="Compact"/>
              <w:jc w:val="left"/>
            </w:pPr>
            <w:r>
              <w:t xml:space="preserve">Location prior, exposure and skip-cost tables (in use)</w:t>
            </w:r>
          </w:p>
        </w:tc>
        <w:tc>
          <w:tcPr/>
          <w:p>
            <w:pPr>
              <w:pStyle w:val="Compact"/>
              <w:jc w:val="left"/>
            </w:pPr>
            <w:r>
              <w:t xml:space="preserve">R4 (passengers per train by time period), R5 (freight exposure)</w:t>
            </w:r>
          </w:p>
        </w:tc>
      </w:tr>
    </w:tbl>
    <w:bookmarkEnd w:id="48"/>
    <w:bookmarkStart w:id="50" w:name="sources"/>
    <w:p>
      <w:pPr>
        <w:pStyle w:val="Heading2"/>
      </w:pPr>
      <w:r>
        <w:t xml:space="preserve">Sources</w:t>
      </w:r>
    </w:p>
    <w:p>
      <w:pPr>
        <w:pStyle w:val="FirstParagraph"/>
      </w:pPr>
      <w:r>
        <w:t xml:space="preserve">The full list for railflow, including the project pages these examples draw on, is in</w:t>
      </w:r>
      <w:r>
        <w:t xml:space="preserve"> </w:t>
      </w:r>
      <w:hyperlink r:id="rId49">
        <w:r>
          <w:rPr>
            <w:rStyle w:val="Hyperlink"/>
          </w:rPr>
          <w:t xml:space="preserve">sources.html</w:t>
        </w:r>
      </w:hyperlink>
      <w:r>
        <w:t xml:space="preserve"> </w:t>
      </w:r>
      <w:r>
        <w:t xml:space="preserve">and in the technical document.</w:t>
      </w:r>
    </w:p>
    <w:bookmarkEnd w:id="50"/>
    <w:sectPr>
      <w:pgSz w:h="16838" w:w="11906"/>
      <w:pgMar w:bottom="1000" w:footer="708" w:gutter="0" w:header="708" w:left="1000" w:right="100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25" Target="media/rId25.png" /><Relationship Type="http://schemas.openxmlformats.org/officeDocument/2006/relationships/hyperlink" Id="rId49" Target="sources.html" TargetMode="External" /><Relationship Type="http://schemas.openxmlformats.org/officeDocument/2006/relationships/hyperlink" Id="rId20" Target="technical_document.html" TargetMode="External" /></Relationships>
</file>

<file path=word/_rels/footnotes.xml.rels><?xml version="1.0" encoding="UTF-8"?><Relationships xmlns="http://schemas.openxmlformats.org/package/2006/relationships"><Relationship Type="http://schemas.openxmlformats.org/officeDocument/2006/relationships/hyperlink" Id="rId49" Target="sources.html" TargetMode="External" /><Relationship Type="http://schemas.openxmlformats.org/officeDocument/2006/relationships/hyperlink" Id="rId20" Target="technical_documen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railflow in other projects: worked examples</dc:title>
  <dc:creator/>
  <dc:language>en-GB</dc:language>
  <cp:keywords/>
  <dcterms:created xsi:type="dcterms:W3CDTF">2026-10-24T23:59:37Z</dcterms:created>
  <dcterms:modified xsi:type="dcterms:W3CDTF">2026-10-24T23:59:37Z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 viewport-fit=cover</vt:lpwstr>
  </property>
</Properties>
</file>