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CardioGuard: An Explainable, Hyperparameter-Tuned Stacking Ensemble for Heart Disease Risk Classification</w:t>
      </w:r>
    </w:p>
    <w:p>
      <w:pPr>
        <w:spacing w:after="20"/>
        <w:jc w:val="center"/>
      </w:pPr>
      <w:r>
        <w:rPr>
          <w:rFonts w:ascii="Times New Roman" w:cs="Times New Roman" w:eastAsia="Times New Roman" w:hAnsi="Times New Roman"/>
          <w:b/>
          <w:bCs/>
          <w:sz w:val="22"/>
          <w:szCs w:val="22"/>
        </w:rPr>
        <w:t xml:space="preserve">Rahul Patidar</w:t>
      </w:r>
    </w:p>
    <w:p>
      <w:pPr>
        <w:spacing w:after="0"/>
        <w:jc w:val="center"/>
      </w:pPr>
      <w:r>
        <w:rPr>
          <w:rFonts w:ascii="Times New Roman" w:cs="Times New Roman" w:eastAsia="Times New Roman" w:hAnsi="Times New Roman"/>
          <w:i/>
          <w:iCs/>
          <w:sz w:val="18"/>
          <w:szCs w:val="18"/>
        </w:rPr>
        <w:t xml:space="preserve">Department of Computer Science and Engineering (Data Science and Artificial Intelligence), 1st Semester M.Tech</w:t>
      </w:r>
    </w:p>
    <w:p>
      <w:pPr>
        <w:spacing w:after="0"/>
        <w:jc w:val="center"/>
      </w:pPr>
      <w:r>
        <w:rPr>
          <w:rFonts w:ascii="Times New Roman" w:cs="Times New Roman" w:eastAsia="Times New Roman" w:hAnsi="Times New Roman"/>
          <w:i/>
          <w:iCs/>
          <w:sz w:val="18"/>
          <w:szCs w:val="18"/>
        </w:rPr>
        <w:t xml:space="preserve">PES University, Bengaluru, India</w:t>
      </w:r>
    </w:p>
    <w:p>
      <w:pPr>
        <w:spacing w:after="200"/>
        <w:jc w:val="center"/>
      </w:pPr>
      <w:r>
        <w:rPr>
          <w:rFonts w:ascii="Times New Roman" w:cs="Times New Roman" w:eastAsia="Times New Roman" w:hAnsi="Times New Roman"/>
          <w:i/>
          <w:iCs/>
          <w:sz w:val="18"/>
          <w:szCs w:val="18"/>
        </w:rPr>
        <w:t xml:space="preserve">SRN: PES1PGE25DS049</w:t>
      </w:r>
    </w:p>
    <w:p>
      <w:pPr>
        <w:spacing w:after="200"/>
        <w:jc w:val="center"/>
      </w:pPr>
      <w:r>
        <w:rPr>
          <w:rFonts w:ascii="Times New Roman" w:cs="Times New Roman" w:eastAsia="Times New Roman" w:hAnsi="Times New Roman"/>
          <w:b/>
          <w:bCs/>
          <w:i/>
          <w:iCs/>
          <w:sz w:val="18"/>
          <w:szCs w:val="18"/>
        </w:rPr>
        <w:t xml:space="preserve">Under the guidance of: Dr. Shylaja S. Sharath, HOD, Dept. of Computer Science and Engineering, PES University</w:t>
      </w:r>
    </w:p>
    <w:p>
      <w:pPr>
        <w:sectPr>
          <w:type w:val="continuous"/>
          <w:pgSz w:w="12240" w:h="15840" w:orient="portrait"/>
          <w:pgMar w:top="1080" w:right="1080" w:bottom="1080" w:left="1080" w:header="708" w:footer="708" w:gutter="0"/>
          <w:pgNumType/>
          <w:docGrid w:linePitch="360"/>
        </w:sectPr>
      </w:pPr>
    </w:p>
    <w:p>
      <w:pPr>
        <w:spacing w:after="90" w:line="235"/>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Early, reliable screening for heart disease can help clinicians intervene sooner, yet manual risk assessment across many clinical variables is inconsistent and hard to scale. This work builds a leak-proof, hyperparameter-tuned supervised classification pipeline on the UCI Cleveland Heart Disease dataset (302 unique patients, 13 features). Six base classifiers are tuned via 5-fold stratified GridSearchCV and combined into a Stacking Ensemble (Logistic Regression, Random Forest and Gradient Boosting base learners with a Logistic Regression meta-learner), selected purely by cross-validated ROC-AUC. The deployed model attains a cross-validated ROC-AUC of 0.898 and a held-out test ROC-AUC of 0.881 (77.0% accuracy), comfortably beating the 54.1% majority-class baseline. Global permutation importance and per-patient SHAP values provide dual explainability, and the trained pipeline is deployed behind an interactive Streamlit/ipywidgets risk dashboard.</w:t>
      </w:r>
    </w:p>
    <w:p>
      <w:pPr>
        <w:spacing w:after="160" w:line="235"/>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heart disease prediction; stacking ensemble; hyperparameter tuning; SHAP; explainable AI; supervised classification</w:t>
      </w:r>
    </w:p>
    <w:p>
      <w:pPr>
        <w:spacing w:after="70" w:before="160"/>
        <w:jc w:val="center"/>
      </w:pPr>
      <w:r>
        <w:rPr>
          <w:rFonts w:ascii="Times New Roman" w:cs="Times New Roman" w:eastAsia="Times New Roman" w:hAnsi="Times New Roman"/>
          <w:b/>
          <w:bCs/>
          <w:sz w:val="20"/>
          <w:szCs w:val="20"/>
        </w:rPr>
        <w:t xml:space="preserve">I. INTRODUCTION</w:t>
      </w:r>
    </w:p>
    <w:p>
      <w:pPr>
        <w:spacing w:after="90" w:line="235"/>
        <w:jc w:val="both"/>
      </w:pPr>
      <w:r>
        <w:rPr>
          <w:rFonts w:ascii="Times New Roman" w:cs="Times New Roman" w:eastAsia="Times New Roman" w:hAnsi="Times New Roman"/>
          <w:b w:val="false"/>
          <w:bCs w:val="false"/>
          <w:i w:val="false"/>
          <w:iCs w:val="false"/>
          <w:sz w:val="19"/>
          <w:szCs w:val="19"/>
        </w:rPr>
        <w:t xml:space="preserve">Cardiovascular disease remains one of the leading causes of death worldwide, and early screening is central to timely intervention. Clinicians currently estimate risk by combining measurements such as age, cholesterol, blood pressure and ECG findings — a process that is manual, time-consuming and difficult to standardize across practitioners. This project formulates heart-disease screening as a supervised binary classification problem and builds a complete, rigorously validated pipeline: leak-proof preprocessing, hyperparameter-tuned base learners, a stacking ensemble selected only by cross-validated ROC-AUC, dual explainability (global and per-patient), and a deployable interactive dashboard for clinicians.</w:t>
      </w:r>
    </w:p>
    <w:p>
      <w:pPr>
        <w:spacing w:after="70" w:before="160"/>
        <w:jc w:val="center"/>
      </w:pPr>
      <w:r>
        <w:rPr>
          <w:rFonts w:ascii="Times New Roman" w:cs="Times New Roman" w:eastAsia="Times New Roman" w:hAnsi="Times New Roman"/>
          <w:b/>
          <w:bCs/>
          <w:sz w:val="20"/>
          <w:szCs w:val="20"/>
        </w:rPr>
        <w:t xml:space="preserve">II. RELATED WORK</w:t>
      </w:r>
    </w:p>
    <w:p>
      <w:pPr>
        <w:spacing w:after="90" w:line="235"/>
        <w:jc w:val="both"/>
      </w:pPr>
      <w:r>
        <w:rPr>
          <w:rFonts w:ascii="Times New Roman" w:cs="Times New Roman" w:eastAsia="Times New Roman" w:hAnsi="Times New Roman"/>
          <w:b w:val="false"/>
          <w:bCs w:val="false"/>
          <w:i w:val="false"/>
          <w:iCs w:val="false"/>
          <w:sz w:val="19"/>
          <w:szCs w:val="19"/>
        </w:rPr>
        <w:t xml:space="preserve">The Cleveland Heart Disease dataset, first curated for probabilistic coronary-artery-disease diagnosis, is the most widely used benchmark for this task [1]. Prior work has shown that hybrid and ensemble machine-learning techniques — combining multiple base classifiers — consistently outperform single classifiers on this dataset [2]. For interpretability, SHapley Additive exPlanations (SHAP) has become a standard model-agnostic framework for attributing individual predictions to input features, and is adopted here for per-patient explanations [3].</w:t>
      </w:r>
    </w:p>
    <w:p>
      <w:pPr>
        <w:spacing w:after="70" w:before="160"/>
        <w:jc w:val="center"/>
      </w:pPr>
      <w:r>
        <w:rPr>
          <w:rFonts w:ascii="Times New Roman" w:cs="Times New Roman" w:eastAsia="Times New Roman" w:hAnsi="Times New Roman"/>
          <w:b/>
          <w:bCs/>
          <w:sz w:val="20"/>
          <w:szCs w:val="20"/>
        </w:rPr>
        <w:t xml:space="preserve">III. DATASET AND PREPROCESSING</w:t>
      </w:r>
    </w:p>
    <w:p>
      <w:pPr>
        <w:spacing w:after="90" w:line="235"/>
        <w:jc w:val="both"/>
      </w:pPr>
      <w:r>
        <w:rPr>
          <w:rFonts w:ascii="Times New Roman" w:cs="Times New Roman" w:eastAsia="Times New Roman" w:hAnsi="Times New Roman"/>
          <w:b w:val="false"/>
          <w:bCs w:val="false"/>
          <w:i w:val="false"/>
          <w:iCs w:val="false"/>
          <w:sz w:val="19"/>
          <w:szCs w:val="19"/>
        </w:rPr>
        <w:t xml:space="preserve">The dataset contains 303 patients described by 13 standard clinical features (age, sex, chest-pain type, resting blood pressure, cholesterol, fasting blood sugar, resting ECG, maximum heart rate, exercise-induced angina, ST depression, ST slope, number of major vessels, and thalassemia result) and a binary target. After removing one exact duplicate record, 302 unique patients remain, with a near-balanced class split (54.3% disease, 45.7% no disease). Continuous features (age, trestbps, chol, thalach, oldpeak, ca) are standardized; binary features (sex, fbs, exang) are passed through unchanged; and the four nominal categorical codes (cp, restecg, slope, thal) are one-hot encoded, since their public documentation is inconsistent across dataset mirrors and no ordinal relationship can be safely assumed. All transformations are wrapped inside a scikit-learn ColumnTransformer placed inside a Pipeline together with each classifier, so scaling/encoding is fit only on the training fold of every cross-validation split — preventing data leakage. A stratified 80/20 split yields 241 training and 61 held-out test patients.</w:t>
      </w:r>
    </w:p>
    <w:p>
      <w:pPr>
        <w:spacing w:after="70" w:before="160"/>
        <w:jc w:val="center"/>
      </w:pPr>
      <w:r>
        <w:rPr>
          <w:rFonts w:ascii="Times New Roman" w:cs="Times New Roman" w:eastAsia="Times New Roman" w:hAnsi="Times New Roman"/>
          <w:b/>
          <w:bCs/>
          <w:sz w:val="20"/>
          <w:szCs w:val="20"/>
        </w:rPr>
        <w:t xml:space="preserve">IV. METHODOLOGY</w:t>
      </w:r>
    </w:p>
    <w:p>
      <w:pPr>
        <w:spacing w:after="40" w:before="80"/>
      </w:pPr>
      <w:r>
        <w:rPr>
          <w:rFonts w:ascii="Times New Roman" w:cs="Times New Roman" w:eastAsia="Times New Roman" w:hAnsi="Times New Roman"/>
          <w:b/>
          <w:bCs/>
          <w:i/>
          <w:iCs/>
          <w:sz w:val="19"/>
          <w:szCs w:val="19"/>
        </w:rPr>
        <w:t xml:space="preserve">A. Tuned Base Learners</w:t>
      </w:r>
    </w:p>
    <w:p>
      <w:pPr>
        <w:spacing w:after="90" w:line="235"/>
        <w:jc w:val="both"/>
      </w:pPr>
      <w:r>
        <w:rPr>
          <w:rFonts w:ascii="Times New Roman" w:cs="Times New Roman" w:eastAsia="Times New Roman" w:hAnsi="Times New Roman"/>
          <w:b w:val="false"/>
          <w:bCs w:val="false"/>
          <w:i w:val="false"/>
          <w:iCs w:val="false"/>
          <w:sz w:val="19"/>
          <w:szCs w:val="19"/>
        </w:rPr>
        <w:t xml:space="preserve">Six standard classifiers — Logistic Regression, K-Nearest Neighbors, Decision Tree, Random Forest, SVM (RBF kernel) and Gradient Boosting — are each tuned with GridSearchCV over a model-specific hyperparameter grid, using 5-fold stratified cross-validation on the training set only, optimizing ROC-AUC (a threshold-independent metric appropriate for a screening task).</w:t>
      </w:r>
    </w:p>
    <w:p>
      <w:pPr>
        <w:spacing w:after="40" w:before="80"/>
      </w:pPr>
      <w:r>
        <w:rPr>
          <w:rFonts w:ascii="Times New Roman" w:cs="Times New Roman" w:eastAsia="Times New Roman" w:hAnsi="Times New Roman"/>
          <w:b/>
          <w:bCs/>
          <w:i/>
          <w:iCs/>
          <w:sz w:val="19"/>
          <w:szCs w:val="19"/>
        </w:rPr>
        <w:t xml:space="preserve">B. Stacking Ensemble</w:t>
      </w:r>
    </w:p>
    <w:p>
      <w:pPr>
        <w:spacing w:after="90" w:line="235"/>
        <w:jc w:val="both"/>
      </w:pPr>
      <w:r>
        <w:rPr>
          <w:rFonts w:ascii="Times New Roman" w:cs="Times New Roman" w:eastAsia="Times New Roman" w:hAnsi="Times New Roman"/>
          <w:b w:val="false"/>
          <w:bCs w:val="false"/>
          <w:i w:val="false"/>
          <w:iCs w:val="false"/>
          <w:sz w:val="19"/>
          <w:szCs w:val="19"/>
        </w:rPr>
        <w:t xml:space="preserve">Rather than selecting one “best” model, tuned base learners are combined with a StackingClassifier, in which a Logistic Regression meta-learner learns to combine each base model's predicted probability. Three candidate combinations (top-3, top-4, and all six tuned models, ranked by individual CV ROC-AUC) are compared by 5-fold cross-validated ROC-AUC on the training set alone; the top-3 combination (Logistic Regression + Random Forest + Gradient Boosting) is selected without ever consulting the test set.</w:t>
      </w:r>
    </w:p>
    <w:p>
      <w:pPr>
        <w:spacing w:after="40" w:before="80"/>
      </w:pPr>
      <w:r>
        <w:rPr>
          <w:rFonts w:ascii="Times New Roman" w:cs="Times New Roman" w:eastAsia="Times New Roman" w:hAnsi="Times New Roman"/>
          <w:b/>
          <w:bCs/>
          <w:i/>
          <w:iCs/>
          <w:sz w:val="19"/>
          <w:szCs w:val="19"/>
        </w:rPr>
        <w:t xml:space="preserve">C. Explainability</w:t>
      </w:r>
    </w:p>
    <w:p>
      <w:pPr>
        <w:spacing w:after="90" w:line="235"/>
        <w:jc w:val="both"/>
      </w:pPr>
      <w:r>
        <w:rPr>
          <w:rFonts w:ascii="Times New Roman" w:cs="Times New Roman" w:eastAsia="Times New Roman" w:hAnsi="Times New Roman"/>
          <w:b w:val="false"/>
          <w:bCs w:val="false"/>
          <w:i w:val="false"/>
          <w:iCs w:val="false"/>
          <w:sz w:val="19"/>
          <w:szCs w:val="19"/>
        </w:rPr>
        <w:t xml:space="preserve">Two complementary techniques explain the deployed ensemble. Global permutation importance measures the mean drop in test-set ROC-AUC when each feature is randomly shuffled (30 repeats). For per-patient local explanations, exact SHAP values are computed with shap.TreeExplainer on the tuned Random Forest base learner, used as a fast, exact stand-in for the full ensemble.</w:t>
      </w:r>
    </w:p>
    <w:p>
      <w:pPr>
        <w:spacing w:after="40" w:before="80"/>
      </w:pPr>
      <w:r>
        <w:rPr>
          <w:rFonts w:ascii="Times New Roman" w:cs="Times New Roman" w:eastAsia="Times New Roman" w:hAnsi="Times New Roman"/>
          <w:b/>
          <w:bCs/>
          <w:i/>
          <w:iCs/>
          <w:sz w:val="19"/>
          <w:szCs w:val="19"/>
        </w:rPr>
        <w:t xml:space="preserve">D. Deployment</w:t>
      </w:r>
    </w:p>
    <w:p>
      <w:pPr>
        <w:spacing w:after="90" w:line="235"/>
        <w:jc w:val="both"/>
      </w:pPr>
      <w:r>
        <w:rPr>
          <w:rFonts w:ascii="Times New Roman" w:cs="Times New Roman" w:eastAsia="Times New Roman" w:hAnsi="Times New Roman"/>
          <w:b w:val="false"/>
          <w:bCs w:val="false"/>
          <w:i w:val="false"/>
          <w:iCs w:val="false"/>
          <w:sz w:val="19"/>
          <w:szCs w:val="19"/>
        </w:rPr>
        <w:t xml:space="preserve">The final fitted Pipeline (preprocessing + stacking classifier) is serialized as a single joblib artifact, eliminating any risk of mismatching a saved scaler with the wrong model version at inference time. The same artifact powers two interactive front-ends: an in-notebook ipywidgets dashboard and a standalone Streamlit web application, both showing predicted risk probability and the top SHAP-driven factors for the entered patient.</w:t>
      </w:r>
    </w:p>
    <w:p>
      <w:pPr>
        <w:spacing w:after="70" w:before="160"/>
        <w:jc w:val="center"/>
      </w:pPr>
      <w:r>
        <w:rPr>
          <w:rFonts w:ascii="Times New Roman" w:cs="Times New Roman" w:eastAsia="Times New Roman" w:hAnsi="Times New Roman"/>
          <w:b/>
          <w:bCs/>
          <w:sz w:val="20"/>
          <w:szCs w:val="20"/>
        </w:rPr>
        <w:t xml:space="preserve">V. RESULTS</w:t>
      </w:r>
    </w:p>
    <w:p>
      <w:pPr>
        <w:spacing w:after="90" w:line="235"/>
        <w:jc w:val="both"/>
      </w:pPr>
      <w:r>
        <w:rPr>
          <w:rFonts w:ascii="Times New Roman" w:cs="Times New Roman" w:eastAsia="Times New Roman" w:hAnsi="Times New Roman"/>
          <w:b w:val="false"/>
          <w:bCs w:val="false"/>
          <w:i w:val="false"/>
          <w:iCs w:val="false"/>
          <w:sz w:val="19"/>
          <w:szCs w:val="19"/>
        </w:rPr>
        <w:t xml:space="preserve">Table I reports 5-fold cross-validated ROC-AUC and held-out test-set metrics for all six tuned base learners and the final stacking ensemble. The stacking ensemble achieves the highest cross-validated ROC-AUC (0.898), and generalizes to a test ROC-AUC of 0.881 with 77.0% accuracy, 0.757 precision, 0.848 recall and 0.800 F1 on disease-positive cases. SVM (RBF) attains the single highest test ROC-AUC (0.918) among individual models, while Decision Tree is the weakest and shows the largest CV-to-test gap, consistent with a single tree overfitting a modest-sized tabular dataset.</w:t>
      </w:r>
    </w:p>
    <w:p>
      <w:pPr>
        <w:spacing w:after="140" w:before="40"/>
        <w:jc w:val="center"/>
      </w:pPr>
      <w:r>
        <w:rPr>
          <w:rFonts w:ascii="Times New Roman" w:cs="Times New Roman" w:eastAsia="Times New Roman" w:hAnsi="Times New Roman"/>
          <w:b/>
          <w:bCs/>
          <w:sz w:val="14"/>
          <w:szCs w:val="14"/>
        </w:rPr>
        <w:t xml:space="preserve">TABLE I. TUNED MODEL COMPARISON (5-FOLD CV vs. HELD-OUT TEST SET, N=302, 241/61 SPLIT)</w:t>
      </w:r>
    </w:p>
    <w:tbl>
      <w:tblPr>
        <w:tblW w:type="dxa" w:w="4699"/>
        <w:tblBorders>
          <w:top w:val="single" w:color="auto" w:sz="4"/>
          <w:left w:val="single" w:color="auto" w:sz="4"/>
          <w:bottom w:val="single" w:color="auto" w:sz="4"/>
          <w:right w:val="single" w:color="auto" w:sz="4"/>
          <w:insideH w:val="single" w:color="auto" w:sz="4"/>
          <w:insideV w:val="single" w:color="auto" w:sz="4"/>
        </w:tblBorders>
      </w:tblPr>
      <w:tblGrid>
        <w:gridCol w:w="1340"/>
        <w:gridCol w:w="572"/>
        <w:gridCol w:w="545"/>
        <w:gridCol w:w="545"/>
        <w:gridCol w:w="545"/>
        <w:gridCol w:w="527"/>
        <w:gridCol w:w="625"/>
      </w:tblGrid>
      <w:tr>
        <w:trPr>
          <w:tblHeader/>
        </w:trPr>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Model</w:t>
            </w:r>
          </w:p>
        </w:tc>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CV</w:t>
            </w:r>
            <w:r>
              <w:rPr>
                <w:rFonts w:ascii="Times New Roman" w:cs="Times New Roman" w:eastAsia="Times New Roman" w:hAnsi="Times New Roman"/>
                <w:b/>
                <w:bCs/>
                <w:color w:val="FFFFFF"/>
                <w:sz w:val="14"/>
                <w:szCs w:val="14"/>
              </w:rPr>
              <w:br/>
              <w:t xml:space="preserve">ROC-AUC</w:t>
            </w:r>
          </w:p>
        </w:tc>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Test</w:t>
            </w:r>
            <w:r>
              <w:rPr>
                <w:rFonts w:ascii="Times New Roman" w:cs="Times New Roman" w:eastAsia="Times New Roman" w:hAnsi="Times New Roman"/>
                <w:b/>
                <w:bCs/>
                <w:color w:val="FFFFFF"/>
                <w:sz w:val="14"/>
                <w:szCs w:val="14"/>
              </w:rPr>
              <w:br/>
              <w:t xml:space="preserve">Acc.</w:t>
            </w:r>
          </w:p>
        </w:tc>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Test</w:t>
            </w:r>
            <w:r>
              <w:rPr>
                <w:rFonts w:ascii="Times New Roman" w:cs="Times New Roman" w:eastAsia="Times New Roman" w:hAnsi="Times New Roman"/>
                <w:b/>
                <w:bCs/>
                <w:color w:val="FFFFFF"/>
                <w:sz w:val="14"/>
                <w:szCs w:val="14"/>
              </w:rPr>
              <w:br/>
              <w:t xml:space="preserve">Prec.</w:t>
            </w:r>
          </w:p>
        </w:tc>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Test</w:t>
            </w:r>
            <w:r>
              <w:rPr>
                <w:rFonts w:ascii="Times New Roman" w:cs="Times New Roman" w:eastAsia="Times New Roman" w:hAnsi="Times New Roman"/>
                <w:b/>
                <w:bCs/>
                <w:color w:val="FFFFFF"/>
                <w:sz w:val="14"/>
                <w:szCs w:val="14"/>
              </w:rPr>
              <w:br/>
              <w:t xml:space="preserve">Rec.</w:t>
            </w:r>
          </w:p>
        </w:tc>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Test</w:t>
            </w:r>
            <w:r>
              <w:rPr>
                <w:rFonts w:ascii="Times New Roman" w:cs="Times New Roman" w:eastAsia="Times New Roman" w:hAnsi="Times New Roman"/>
                <w:b/>
                <w:bCs/>
                <w:color w:val="FFFFFF"/>
                <w:sz w:val="14"/>
                <w:szCs w:val="14"/>
              </w:rPr>
              <w:br/>
              <w:t xml:space="preserve">F1</w:t>
            </w:r>
          </w:p>
        </w:tc>
        <w:tc>
          <w:tcPr>
            <w:tcBorders>
              <w:top w:val="none" w:color="FFFFFF" w:sz="0"/>
              <w:left w:val="none" w:color="FFFFFF" w:sz="0"/>
              <w:bottom w:val="none" w:color="FFFFFF" w:sz="0"/>
              <w:right w:val="none" w:color="FFFFFF" w:sz="0"/>
            </w:tcBorders>
            <w:shd w:fill="123C4A" w:val="clear"/>
            <w:tcMar>
              <w:top w:type="dxa" w:w="30"/>
              <w:left w:type="dxa" w:w="40"/>
              <w:bottom w:type="dxa" w:w="30"/>
              <w:right w:type="dxa" w:w="40"/>
            </w:tcMar>
          </w:tcPr>
          <w:p>
            <w:pPr>
              <w:jc w:val="center"/>
            </w:pPr>
            <w:r>
              <w:rPr>
                <w:rFonts w:ascii="Times New Roman" w:cs="Times New Roman" w:eastAsia="Times New Roman" w:hAnsi="Times New Roman"/>
                <w:b/>
                <w:bCs/>
                <w:color w:val="FFFFFF"/>
                <w:sz w:val="14"/>
                <w:szCs w:val="14"/>
              </w:rPr>
              <w:t xml:space="preserve">Test</w:t>
            </w:r>
            <w:r>
              <w:rPr>
                <w:rFonts w:ascii="Times New Roman" w:cs="Times New Roman" w:eastAsia="Times New Roman" w:hAnsi="Times New Roman"/>
                <w:b/>
                <w:bCs/>
                <w:color w:val="FFFFFF"/>
                <w:sz w:val="14"/>
                <w:szCs w:val="14"/>
              </w:rPr>
              <w:br/>
              <w:t xml:space="preserve">ROC-AUC</w:t>
            </w:r>
          </w:p>
        </w:tc>
      </w:tr>
      <w:tr>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Logistic Regression</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0.896</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0.787</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0.778</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0.848</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0.812</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0.872</w:t>
            </w:r>
          </w:p>
        </w:tc>
      </w:tr>
      <w:tr>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K-Nearest Neighbors</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0.889</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0.803</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0.800</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0.848</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0.824</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0.892</w:t>
            </w:r>
          </w:p>
        </w:tc>
      </w:tr>
      <w:tr>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Decision Tree</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0.826</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0.721</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0.690</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0.879</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0.773</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0.708</w:t>
            </w:r>
          </w:p>
        </w:tc>
      </w:tr>
      <w:tr>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Random Forest</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0.894</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0.754</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0.750</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0.818</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0.783</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0.886</w:t>
            </w:r>
          </w:p>
        </w:tc>
      </w:tr>
      <w:tr>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SVM (RBF)</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0.883</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0.836</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0.811</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0.909</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0.857</w:t>
            </w:r>
          </w:p>
        </w:tc>
        <w:tc>
          <w:tcPr>
            <w:tcBorders>
              <w:top w:val="none" w:color="FFFFFF" w:sz="0"/>
              <w:left w:val="none" w:color="FFFFFF" w:sz="0"/>
              <w:bottom w:val="none" w:color="FFFFFF" w:sz="0"/>
              <w:right w:val="none" w:color="FFFFFF" w:sz="0"/>
            </w:tcBorders>
            <w:shd w:fill="F7FAF9"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0.918</w:t>
            </w:r>
          </w:p>
        </w:tc>
      </w:tr>
      <w:tr>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Gradient Boosting</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0.890</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0.787</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0.778</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0.848</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0.812</w:t>
            </w:r>
          </w:p>
        </w:tc>
        <w:tc>
          <w:tcPr>
            <w:tcBorders>
              <w:top w:val="none" w:color="FFFFFF" w:sz="0"/>
              <w:left w:val="none" w:color="FFFFFF" w:sz="0"/>
              <w:bottom w:val="none" w:color="FFFFFF" w:sz="0"/>
              <w:right w:val="none" w:color="FFFFFF" w:sz="0"/>
            </w:tcBorders>
            <w:shd w:fill="FFFFFF" w:val="clear"/>
            <w:tcMar>
              <w:top w:type="dxa" w:w="30"/>
              <w:left w:type="dxa" w:w="40"/>
              <w:bottom w:type="dxa" w:w="30"/>
              <w:right w:type="dxa" w:w="40"/>
            </w:tcMar>
          </w:tcPr>
          <w:p>
            <w:pPr>
              <w:jc w:val="center"/>
            </w:pPr>
            <w:r>
              <w:rPr>
                <w:rFonts w:ascii="Times New Roman" w:cs="Times New Roman" w:eastAsia="Times New Roman" w:hAnsi="Times New Roman"/>
                <w:b w:val="false"/>
                <w:bCs w:val="false"/>
                <w:sz w:val="15"/>
                <w:szCs w:val="15"/>
              </w:rPr>
              <w:t xml:space="preserve">0.874</w:t>
            </w:r>
          </w:p>
        </w:tc>
      </w:tr>
      <w:tr>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left"/>
            </w:pPr>
            <w:r>
              <w:rPr>
                <w:rFonts w:ascii="Times New Roman" w:cs="Times New Roman" w:eastAsia="Times New Roman" w:hAnsi="Times New Roman"/>
                <w:b/>
                <w:bCs/>
                <w:sz w:val="15"/>
                <w:szCs w:val="15"/>
              </w:rPr>
              <w:t xml:space="preserve">Stacking Ens. (proposed)</w:t>
            </w:r>
          </w:p>
        </w:tc>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center"/>
            </w:pPr>
            <w:r>
              <w:rPr>
                <w:rFonts w:ascii="Times New Roman" w:cs="Times New Roman" w:eastAsia="Times New Roman" w:hAnsi="Times New Roman"/>
                <w:b/>
                <w:bCs/>
                <w:sz w:val="15"/>
                <w:szCs w:val="15"/>
              </w:rPr>
              <w:t xml:space="preserve">0.898</w:t>
            </w:r>
          </w:p>
        </w:tc>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center"/>
            </w:pPr>
            <w:r>
              <w:rPr>
                <w:rFonts w:ascii="Times New Roman" w:cs="Times New Roman" w:eastAsia="Times New Roman" w:hAnsi="Times New Roman"/>
                <w:b/>
                <w:bCs/>
                <w:sz w:val="15"/>
                <w:szCs w:val="15"/>
              </w:rPr>
              <w:t xml:space="preserve">0.770</w:t>
            </w:r>
          </w:p>
        </w:tc>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center"/>
            </w:pPr>
            <w:r>
              <w:rPr>
                <w:rFonts w:ascii="Times New Roman" w:cs="Times New Roman" w:eastAsia="Times New Roman" w:hAnsi="Times New Roman"/>
                <w:b/>
                <w:bCs/>
                <w:sz w:val="15"/>
                <w:szCs w:val="15"/>
              </w:rPr>
              <w:t xml:space="preserve">0.757</w:t>
            </w:r>
          </w:p>
        </w:tc>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center"/>
            </w:pPr>
            <w:r>
              <w:rPr>
                <w:rFonts w:ascii="Times New Roman" w:cs="Times New Roman" w:eastAsia="Times New Roman" w:hAnsi="Times New Roman"/>
                <w:b/>
                <w:bCs/>
                <w:sz w:val="15"/>
                <w:szCs w:val="15"/>
              </w:rPr>
              <w:t xml:space="preserve">0.848</w:t>
            </w:r>
          </w:p>
        </w:tc>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center"/>
            </w:pPr>
            <w:r>
              <w:rPr>
                <w:rFonts w:ascii="Times New Roman" w:cs="Times New Roman" w:eastAsia="Times New Roman" w:hAnsi="Times New Roman"/>
                <w:b/>
                <w:bCs/>
                <w:sz w:val="15"/>
                <w:szCs w:val="15"/>
              </w:rPr>
              <w:t xml:space="preserve">0.800</w:t>
            </w:r>
          </w:p>
        </w:tc>
        <w:tc>
          <w:tcPr>
            <w:tcBorders>
              <w:top w:val="none" w:color="FFFFFF" w:sz="0"/>
              <w:left w:val="none" w:color="FFFFFF" w:sz="0"/>
              <w:bottom w:val="none" w:color="FFFFFF" w:sz="0"/>
              <w:right w:val="none" w:color="FFFFFF" w:sz="0"/>
            </w:tcBorders>
            <w:shd w:fill="EAF3F1" w:val="clear"/>
            <w:tcMar>
              <w:top w:type="dxa" w:w="30"/>
              <w:left w:type="dxa" w:w="40"/>
              <w:bottom w:type="dxa" w:w="30"/>
              <w:right w:type="dxa" w:w="40"/>
            </w:tcMar>
          </w:tcPr>
          <w:p>
            <w:pPr>
              <w:jc w:val="center"/>
            </w:pPr>
            <w:r>
              <w:rPr>
                <w:rFonts w:ascii="Times New Roman" w:cs="Times New Roman" w:eastAsia="Times New Roman" w:hAnsi="Times New Roman"/>
                <w:b/>
                <w:bCs/>
                <w:sz w:val="15"/>
                <w:szCs w:val="15"/>
              </w:rPr>
              <w:t xml:space="preserve">0.881</w:t>
            </w:r>
          </w:p>
        </w:tc>
      </w:tr>
    </w:tbl>
    <w:p>
      <w:pPr>
        <w:spacing w:after="120" w:before="40"/>
        <w:jc w:val="center"/>
      </w:pPr>
      <w:r>
        <w:rPr>
          <w:rFonts w:ascii="Times New Roman" w:cs="Times New Roman" w:eastAsia="Times New Roman" w:hAnsi="Times New Roman"/>
          <w:b/>
          <w:bCs/>
          <w:sz w:val="14"/>
          <w:szCs w:val="14"/>
        </w:rPr>
        <w:t xml:space="preserve">TABLE II. CONFUSION MATRIX — PROPOSED STACKING ENSEMBLE (TEST SET, n=61)</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150"/>
        <w:gridCol w:w="1150"/>
      </w:tblGrid>
      <w:tr>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
            </w:r>
          </w:p>
        </w:tc>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
            </w:r>
          </w:p>
        </w:tc>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bCs/>
                <w:sz w:val="16"/>
                <w:szCs w:val="16"/>
              </w:rPr>
              <w:t xml:space="preserve">Predicted</w:t>
            </w:r>
          </w:p>
        </w:tc>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
            </w:r>
          </w:p>
        </w:tc>
      </w:tr>
      <w:tr>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
            </w:r>
          </w:p>
        </w:tc>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
            </w:r>
          </w:p>
        </w:tc>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bCs/>
                <w:sz w:val="16"/>
                <w:szCs w:val="16"/>
              </w:rPr>
              <w:t xml:space="preserve">No Dis.</w:t>
            </w:r>
          </w:p>
        </w:tc>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bCs/>
                <w:sz w:val="16"/>
                <w:szCs w:val="16"/>
              </w:rPr>
              <w:t xml:space="preserve">Disease</w:t>
            </w:r>
          </w:p>
        </w:tc>
      </w:tr>
      <w:tr>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bCs/>
                <w:sz w:val="16"/>
                <w:szCs w:val="16"/>
              </w:rPr>
              <w:t xml:space="preserve">Actual</w:t>
            </w:r>
          </w:p>
        </w:tc>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bCs/>
                <w:sz w:val="16"/>
                <w:szCs w:val="16"/>
              </w:rPr>
              <w:t xml:space="preserve">No Dis.</w:t>
            </w:r>
          </w:p>
        </w:tc>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19</w:t>
            </w:r>
          </w:p>
        </w:tc>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9</w:t>
            </w:r>
          </w:p>
        </w:tc>
      </w:tr>
      <w:tr>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
            </w:r>
          </w:p>
        </w:tc>
        <w:tc>
          <w:tcPr>
            <w:tcW w:type="dxa" w:w="1150"/>
            <w:tcBorders>
              <w:top w:val="single" w:color="999999" w:sz="4"/>
              <w:left w:val="single" w:color="999999" w:sz="4"/>
              <w:bottom w:val="single" w:color="999999" w:sz="4"/>
              <w:right w:val="single" w:color="999999" w:sz="4"/>
            </w:tcBorders>
            <w:shd w:fill="EAF3F1" w:val="clear"/>
            <w:tcMar>
              <w:top w:type="dxa" w:w="40"/>
              <w:left w:type="dxa" w:w="30"/>
              <w:bottom w:type="dxa" w:w="40"/>
              <w:right w:type="dxa" w:w="30"/>
            </w:tcMar>
          </w:tcPr>
          <w:p>
            <w:pPr>
              <w:jc w:val="center"/>
            </w:pPr>
            <w:r>
              <w:rPr>
                <w:rFonts w:ascii="Times New Roman" w:cs="Times New Roman" w:eastAsia="Times New Roman" w:hAnsi="Times New Roman"/>
                <w:b/>
                <w:bCs/>
                <w:sz w:val="16"/>
                <w:szCs w:val="16"/>
              </w:rPr>
              <w:t xml:space="preserve">Disease</w:t>
            </w:r>
          </w:p>
        </w:tc>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5</w:t>
            </w:r>
          </w:p>
        </w:tc>
        <w:tc>
          <w:tcPr>
            <w:tcW w:type="dxa" w:w="1150"/>
            <w:tcBorders>
              <w:top w:val="single" w:color="999999" w:sz="4"/>
              <w:left w:val="single" w:color="999999" w:sz="4"/>
              <w:bottom w:val="single" w:color="999999" w:sz="4"/>
              <w:right w:val="single" w:color="999999" w:sz="4"/>
            </w:tcBorders>
            <w:tcMar>
              <w:top w:type="dxa" w:w="40"/>
              <w:left w:type="dxa" w:w="30"/>
              <w:bottom w:type="dxa" w:w="40"/>
              <w:right w:type="dxa" w:w="30"/>
            </w:tcMar>
          </w:tcPr>
          <w:p>
            <w:pPr>
              <w:jc w:val="center"/>
            </w:pPr>
            <w:r>
              <w:rPr>
                <w:rFonts w:ascii="Times New Roman" w:cs="Times New Roman" w:eastAsia="Times New Roman" w:hAnsi="Times New Roman"/>
                <w:b w:val="false"/>
                <w:bCs w:val="false"/>
                <w:sz w:val="16"/>
                <w:szCs w:val="16"/>
              </w:rPr>
              <w:t xml:space="preserve">28</w:t>
            </w:r>
          </w:p>
        </w:tc>
      </w:tr>
    </w:tbl>
    <w:p>
      <w:pPr>
        <w:spacing w:after="90" w:line="235"/>
        <w:jc w:val="both"/>
      </w:pPr>
      <w:r>
        <w:rPr>
          <w:rFonts w:ascii="Times New Roman" w:cs="Times New Roman" w:eastAsia="Times New Roman" w:hAnsi="Times New Roman"/>
          <w:b w:val="false"/>
          <w:bCs w:val="false"/>
          <w:i w:val="false"/>
          <w:iCs w:val="false"/>
          <w:sz w:val="19"/>
          <w:szCs w:val="19"/>
        </w:rPr>
        <w:t xml:space="preserve">As a sanity check, the model's 77.0% test accuracy comfortably exceeds the 54.1% majority-class baseline. On two real, held-out, correctly classified patients, predicted risk was 9.6% for a confirmed disease-negative patient and 91.3% for a confirmed disease-positive patient, confirming that predictions are data-driven rather than random.</w:t>
      </w:r>
    </w:p>
    <w:p>
      <w:pPr>
        <w:spacing w:after="90" w:line="235"/>
        <w:jc w:val="both"/>
      </w:pPr>
      <w:r>
        <w:rPr>
          <w:rFonts w:ascii="Times New Roman" w:cs="Times New Roman" w:eastAsia="Times New Roman" w:hAnsi="Times New Roman"/>
          <w:b w:val="false"/>
          <w:bCs w:val="false"/>
          <w:i w:val="false"/>
          <w:iCs w:val="false"/>
          <w:sz w:val="19"/>
          <w:szCs w:val="19"/>
        </w:rPr>
        <w:t xml:space="preserve">Global permutation importance ranks the number of major vessels colored by fluoroscopy (ca, ΔROC-AUC = 0.071) and thalassemia result (thal, 0.038) as the most influential features, followed by maximum heart rate (thalach, 0.017) and ST depression (oldpeak, 0.016) — consistent with established cardiology risk markers. Per-patient SHAP values allow the dashboard to report, for any entered patient, the specific top 4–5 features pushing predicted risk up or down.</w:t>
      </w:r>
    </w:p>
    <w:p>
      <w:pPr>
        <w:spacing w:after="70" w:before="160"/>
        <w:jc w:val="center"/>
      </w:pPr>
      <w:r>
        <w:rPr>
          <w:rFonts w:ascii="Times New Roman" w:cs="Times New Roman" w:eastAsia="Times New Roman" w:hAnsi="Times New Roman"/>
          <w:b/>
          <w:bCs/>
          <w:sz w:val="20"/>
          <w:szCs w:val="20"/>
        </w:rPr>
        <w:t xml:space="preserve">VI. NOVELTY AND DISCUSSION</w:t>
      </w:r>
    </w:p>
    <w:p>
      <w:pPr>
        <w:spacing w:after="40" w:line="230"/>
        <w:ind w:left="259" w:hanging="172"/>
      </w:pPr>
      <w:r>
        <w:rPr>
          <w:rFonts w:ascii="Times New Roman" w:cs="Times New Roman" w:eastAsia="Times New Roman" w:hAnsi="Times New Roman"/>
          <w:sz w:val="19"/>
          <w:szCs w:val="19"/>
        </w:rPr>
        <w:t xml:space="preserve">• Hyperparameter-tuned Stacking Ensemble selected purely by cross-validated ROC-AUC, never by peeking at the test set.</w:t>
      </w:r>
    </w:p>
    <w:p>
      <w:pPr>
        <w:spacing w:after="40" w:line="230"/>
        <w:ind w:left="259" w:hanging="172"/>
      </w:pPr>
      <w:r>
        <w:rPr>
          <w:rFonts w:ascii="Times New Roman" w:cs="Times New Roman" w:eastAsia="Times New Roman" w:hAnsi="Times New Roman"/>
          <w:sz w:val="19"/>
          <w:szCs w:val="19"/>
        </w:rPr>
        <w:t xml:space="preserve">• Dual explainability combining global permutation importance with exact per-patient SHAP values, rather than a single opaque risk score.</w:t>
      </w:r>
    </w:p>
    <w:p>
      <w:pPr>
        <w:spacing w:after="40" w:line="230"/>
        <w:ind w:left="259" w:hanging="172"/>
      </w:pPr>
      <w:r>
        <w:rPr>
          <w:rFonts w:ascii="Times New Roman" w:cs="Times New Roman" w:eastAsia="Times New Roman" w:hAnsi="Times New Roman"/>
          <w:sz w:val="19"/>
          <w:szCs w:val="19"/>
        </w:rPr>
        <w:t xml:space="preserve">• A single deployable Pipeline object shared across two live user interfaces (Streamlit and ipywidgets), removing scaler/model mismatch risk at inference time.</w:t>
      </w:r>
    </w:p>
    <w:p>
      <w:pPr>
        <w:spacing w:after="70" w:before="160"/>
        <w:jc w:val="center"/>
      </w:pPr>
      <w:r>
        <w:rPr>
          <w:rFonts w:ascii="Times New Roman" w:cs="Times New Roman" w:eastAsia="Times New Roman" w:hAnsi="Times New Roman"/>
          <w:b/>
          <w:bCs/>
          <w:sz w:val="20"/>
          <w:szCs w:val="20"/>
        </w:rPr>
        <w:t xml:space="preserve">VII. CONCLUSION AND FUTURE WORK</w:t>
      </w:r>
    </w:p>
    <w:p>
      <w:pPr>
        <w:spacing w:after="90" w:line="235"/>
        <w:jc w:val="both"/>
      </w:pPr>
      <w:r>
        <w:rPr>
          <w:rFonts w:ascii="Times New Roman" w:cs="Times New Roman" w:eastAsia="Times New Roman" w:hAnsi="Times New Roman"/>
          <w:b w:val="false"/>
          <w:bCs w:val="false"/>
          <w:i w:val="false"/>
          <w:iCs w:val="false"/>
          <w:sz w:val="19"/>
          <w:szCs w:val="19"/>
        </w:rPr>
        <w:t xml:space="preserve">This work delivers a leak-proof, rigorously validated, and explainable heart-disease risk classifier: a tuned Stacking Ensemble that beats all individually tuned base learners on cross-validated ROC-AUC (0.898) and generalizes to 0.881 test ROC-AUC, well above the majority-class baseline. The dataset is modest in size (302 patients), so a larger and more diverse cohort would tighten confidence in the reported test-set numbers and improve generalization. SHAP explanations currently use the Random Forest component for speed; a full KernelExplainer on the deployed ensemble would be exact at a higher computational cost. Future work includes probability calibration, external validation on an independent clinical site, and extending the dashboard with cohort-level monitoring.</w:t>
      </w:r>
    </w:p>
    <w:p>
      <w:pPr>
        <w:spacing w:after="70" w:before="160"/>
        <w:jc w:val="center"/>
      </w:pPr>
      <w:r>
        <w:rPr>
          <w:rFonts w:ascii="Times New Roman" w:cs="Times New Roman" w:eastAsia="Times New Roman" w:hAnsi="Times New Roman"/>
          <w:b/>
          <w:bCs/>
          <w:sz w:val="20"/>
          <w:szCs w:val="20"/>
        </w:rPr>
        <w:t xml:space="preserve">REFERENCES</w:t>
      </w:r>
    </w:p>
    <w:p>
      <w:pPr>
        <w:spacing w:after="50" w:line="220"/>
        <w:ind w:left="316" w:hanging="316"/>
      </w:pPr>
      <w:r>
        <w:rPr>
          <w:rFonts w:ascii="Times New Roman" w:cs="Times New Roman" w:eastAsia="Times New Roman" w:hAnsi="Times New Roman"/>
          <w:sz w:val="17"/>
          <w:szCs w:val="17"/>
        </w:rPr>
        <w:t xml:space="preserve">[1] R. Detrano et al., “International application of a new probability algorithm for the diagnosis of coronary artery disease,” American Journal of Cardiology, vol. 64, no. 5, pp. 304–310, 1989.</w:t>
      </w:r>
    </w:p>
    <w:p>
      <w:pPr>
        <w:spacing w:after="50" w:line="220"/>
        <w:ind w:left="316" w:hanging="316"/>
      </w:pPr>
      <w:r>
        <w:rPr>
          <w:rFonts w:ascii="Times New Roman" w:cs="Times New Roman" w:eastAsia="Times New Roman" w:hAnsi="Times New Roman"/>
          <w:sz w:val="17"/>
          <w:szCs w:val="17"/>
        </w:rPr>
        <w:t xml:space="preserve">[2] S. Mohan, C. Thirumalai, and G. Srivastava, “Effective heart disease prediction using hybrid machine learning techniques,” IEEE Access, vol. 7, pp. 81542–81554, 2019.</w:t>
      </w:r>
    </w:p>
    <w:p>
      <w:pPr>
        <w:spacing w:after="50" w:line="220"/>
        <w:ind w:left="316" w:hanging="316"/>
      </w:pPr>
      <w:r>
        <w:rPr>
          <w:rFonts w:ascii="Times New Roman" w:cs="Times New Roman" w:eastAsia="Times New Roman" w:hAnsi="Times New Roman"/>
          <w:sz w:val="17"/>
          <w:szCs w:val="17"/>
        </w:rPr>
        <w:t xml:space="preserve">[3] S. M. Lundberg and S.-I. Lee, “A unified approach to interpreting model predictions,” in Advances in Neural Information Processing Systems (NeurIPS), 2017, pp. 4765–4774.</w:t>
      </w:r>
    </w:p>
    <w:p>
      <w:pPr>
        <w:spacing w:after="50" w:line="220"/>
        <w:ind w:left="316" w:hanging="316"/>
      </w:pPr>
      <w:r>
        <w:rPr>
          <w:rFonts w:ascii="Times New Roman" w:cs="Times New Roman" w:eastAsia="Times New Roman" w:hAnsi="Times New Roman"/>
          <w:sz w:val="17"/>
          <w:szCs w:val="17"/>
        </w:rPr>
        <w:t xml:space="preserve">[4] F. Pedregosa et al., “Scikit-learn: Machine learning in Python,” Journal of Machine Learning Research, vol. 12, pp. 2825–2830, 2011.</w:t>
      </w:r>
    </w:p>
    <w:p>
      <w:pPr>
        <w:spacing w:after="50" w:line="220"/>
        <w:ind w:left="316" w:hanging="316"/>
      </w:pPr>
      <w:r>
        <w:rPr>
          <w:rFonts w:ascii="Times New Roman" w:cs="Times New Roman" w:eastAsia="Times New Roman" w:hAnsi="Times New Roman"/>
          <w:sz w:val="17"/>
          <w:szCs w:val="17"/>
        </w:rPr>
        <w:t xml:space="preserve">[5] L. Breiman, “Random forests,” Machine Learning, vol. 45, no. 1, pp. 5–32, 2001.</w:t>
      </w:r>
    </w:p>
    <w:sectPr>
      <w:type w:val="continuous"/>
      <w:pgSz w:w="11906" w:h="16838" w:orient="portrait"/>
      <w:pgMar w:top="1440" w:right="1440" w:bottom="1440" w:left="144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2026-08-26T10:16:04.171Z</dcterms:created>
  <dcterms:modified xsi:type="dcterms:W3CDTF">2026-08-26T10:16:04.171Z</dcterms:modified>
</cp:coreProperties>
</file>

<file path=docProps/custom.xml><?xml version="1.0" encoding="utf-8"?>
<Properties xmlns="http://schemas.openxmlformats.org/officeDocument/2006/custom-properties" xmlns:vt="http://schemas.openxmlformats.org/officeDocument/2006/docPropsVTypes"/>
</file>