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THE PAWN SHOP</w:t>
      </w:r>
    </w:p>
    <w:p>
      <w:pPr>
        <w:spacing w:after="120"/>
      </w:pPr>
      <w:r>
        <w:rPr>
          <w:b/>
          <w:bCs/>
          <w:sz w:val="26"/>
          <w:szCs w:val="26"/>
        </w:rPr>
        <w:t xml:space="preserve">Standard Operating Procedure — Item Pricing Research</w:t>
      </w:r>
    </w:p>
    <w:p>
      <w:pPr>
        <w:spacing w:after="120"/>
      </w:pPr>
      <w:r>
        <w:rPr>
          <w:i/>
          <w:iCs/>
          <w:sz w:val="20"/>
          <w:szCs w:val="20"/>
        </w:rPr>
        <w:t xml:space="preserve">Document: SOP-PRICING-001  |  Version 1.4  |  Effective: August 2026 (rev.)</w:t>
      </w:r>
    </w:p>
    <w:p>
      <w:pPr>
        <w:spacing w:after="120"/>
      </w:pPr>
      <w:r>
        <w:rPr>
          <w:i/>
          <w:iCs/>
          <w:sz w:val="20"/>
          <w:szCs w:val="20"/>
        </w:rPr>
        <w:t xml:space="preserve">Owner: RPD Consulting / Lily Pad Strategy &amp; Design  |  Applies to: The Pawn Shop, Cornwall Island</w:t>
      </w:r>
    </w:p>
    <w:p>
      <w:pPr>
        <w:pStyle w:val="Heading1"/>
        <w:spacing w:after="120" w:before="240"/>
      </w:pPr>
      <w:r>
        <w:t xml:space="preserve">1. Purpose</w:t>
      </w:r>
    </w:p>
    <w:p>
      <w:pPr>
        <w:spacing w:after="120"/>
      </w:pPr>
      <w:r>
        <w:t xml:space="preserve">This SOP defines repeatable pricing research processes for item intake at The Pawn Shop. It ensures consistent, defensible pricing decisions across staff and produces market-accurate price points for both in-store tags and Facebook Marketplace / Kijiji listings. As of v1.3, this SOP covers three pathways: (A) the general four-source process for tools, equipment, electronics, and similar goods, (B) the regulated nicotine/tobacco-adjacent addendum (Section 11) for items such as vape products and nicotine pouches, and (C) the adult novelty &amp; sexual enhancement supplement addendum (Section 12).</w:t>
      </w:r>
    </w:p>
    <w:p>
      <w:pPr>
        <w:pStyle w:val="Heading1"/>
        <w:spacing w:after="120" w:before="240"/>
      </w:pPr>
      <w:r>
        <w:t xml:space="preserve">2. Scope</w:t>
      </w:r>
    </w:p>
    <w:p>
      <w:pPr>
        <w:spacing w:after="120"/>
      </w:pPr>
      <w:r>
        <w:t xml:space="preserve">Section 3 through 10 (the general pathway) applies to any new or used retail item requiring a resale price recommendation — power tools, outdoor equipment, electronics, sporting goods, and similar categories.</w:t>
      </w:r>
    </w:p>
    <w:p>
      <w:pPr>
        <w:spacing w:after="120"/>
      </w:pPr>
      <w:r>
        <w:t xml:space="preserve">Cannabis, tobacco, vaping, and nicotine pouch inventory do NOT follow the general pathway. These categories carry distinct regulatory and advertising constraints and are priced using Section 11 (Regulated Nicotine &amp; Tobacco-Adjacent Product Addendum) instead. Adult novelty and sexual-enhancement supplement inventory also does not follow the general pathway — these are priced using Section 12 (Adult Novelty &amp; Sexual Enhancement Supplement Addendum). Fireworks remain out of scope for this document entirely.</w:t>
      </w:r>
    </w:p>
    <w:p>
      <w:pPr>
        <w:pStyle w:val="Heading1"/>
        <w:spacing w:after="120" w:before="240"/>
      </w:pPr>
      <w:r>
        <w:t xml:space="preserve">3. Required Inputs</w:t>
      </w:r>
    </w:p>
    <w:p>
      <w:pPr>
        <w:pStyle w:val="ListParagraph"/>
        <w:numPr>
          <w:ilvl w:val="0"/>
          <w:numId w:val="2"/>
        </w:numPr>
        <w:spacing w:after="60"/>
      </w:pPr>
      <w:r>
        <w:t xml:space="preserve">Clear photo(s) of the item, including model number / barcode / UPC</w:t>
      </w:r>
    </w:p>
    <w:p>
      <w:pPr>
        <w:pStyle w:val="ListParagraph"/>
        <w:numPr>
          <w:ilvl w:val="0"/>
          <w:numId w:val="2"/>
        </w:numPr>
        <w:spacing w:after="60"/>
      </w:pPr>
      <w:r>
        <w:t xml:space="preserve">Item condition (new/sealed, open box, used — and if used, general wear level)</w:t>
      </w:r>
    </w:p>
    <w:p>
      <w:pPr>
        <w:pStyle w:val="ListParagraph"/>
        <w:numPr>
          <w:ilvl w:val="0"/>
          <w:numId w:val="2"/>
        </w:numPr>
        <w:spacing w:after="60"/>
      </w:pPr>
      <w:r>
        <w:t xml:space="preserve">Any visible retailer price sticker already on the item (useful cross-check, not the final answer)</w:t>
      </w:r>
    </w:p>
    <w:p>
      <w:pPr>
        <w:pStyle w:val="Heading1"/>
        <w:spacing w:after="120" w:before="240"/>
      </w:pPr>
      <w:r>
        <w:t xml:space="preserve">4. Data Sources (General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shd w:fill="D9D9D9" w:color="auto" w:val="clear"/>
            <w:tcMar>
              <w:top w:type="dxa" w:w="80"/>
              <w:left w:type="dxa" w:w="100"/>
              <w:bottom w:type="dxa" w:w="80"/>
              <w:right w:type="dxa" w:w="100"/>
            </w:tcMar>
          </w:tcPr>
          <w:p>
            <w:r>
              <w:rPr>
                <w:b/>
                <w:bCs/>
              </w:rPr>
              <w:t xml:space="preserve">Data Point</w:t>
            </w:r>
          </w:p>
        </w:tc>
        <w:tc>
          <w:tcPr>
            <w:tcW w:type="dxa" w:w="2400"/>
            <w:shd w:fill="D9D9D9" w:color="auto" w:val="clear"/>
            <w:tcMar>
              <w:top w:type="dxa" w:w="80"/>
              <w:left w:type="dxa" w:w="100"/>
              <w:bottom w:type="dxa" w:w="80"/>
              <w:right w:type="dxa" w:w="100"/>
            </w:tcMar>
          </w:tcPr>
          <w:p>
            <w:r>
              <w:rPr>
                <w:b/>
                <w:bCs/>
              </w:rPr>
              <w:t xml:space="preserve">Primary Source</w:t>
            </w:r>
          </w:p>
        </w:tc>
        <w:tc>
          <w:tcPr>
            <w:tcW w:type="dxa" w:w="2400"/>
            <w:shd w:fill="D9D9D9" w:color="auto" w:val="clear"/>
            <w:tcMar>
              <w:top w:type="dxa" w:w="80"/>
              <w:left w:type="dxa" w:w="100"/>
              <w:bottom w:type="dxa" w:w="80"/>
              <w:right w:type="dxa" w:w="100"/>
            </w:tcMar>
          </w:tcPr>
          <w:p>
            <w:r>
              <w:rPr>
                <w:b/>
                <w:bCs/>
              </w:rPr>
              <w:t xml:space="preserve">Backup Source</w:t>
            </w:r>
          </w:p>
        </w:tc>
        <w:tc>
          <w:tcPr>
            <w:tcW w:type="dxa" w:w="2760"/>
            <w:shd w:fill="D9D9D9" w:color="auto" w:val="clear"/>
            <w:tcMar>
              <w:top w:type="dxa" w:w="80"/>
              <w:left w:type="dxa" w:w="100"/>
              <w:bottom w:type="dxa" w:w="80"/>
              <w:right w:type="dxa" w:w="100"/>
            </w:tcMar>
          </w:tcPr>
          <w:p>
            <w:r>
              <w:rPr>
                <w:b/>
                <w:bCs/>
              </w:rPr>
              <w:t xml:space="preserve">Notes</w:t>
            </w:r>
          </w:p>
        </w:tc>
      </w:tr>
      <w:tr>
        <w:tc>
          <w:tcPr>
            <w:tcW w:type="dxa" w:w="1800"/>
            <w:tcMar>
              <w:top w:type="dxa" w:w="80"/>
              <w:left w:type="dxa" w:w="100"/>
              <w:bottom w:type="dxa" w:w="80"/>
              <w:right w:type="dxa" w:w="100"/>
            </w:tcMar>
          </w:tcPr>
          <w:p>
            <w:r>
              <w:rPr>
                <w:b w:val="false"/>
                <w:bCs w:val="false"/>
              </w:rPr>
              <w:t xml:space="preserve">New retail (CAD)</w:t>
            </w:r>
          </w:p>
        </w:tc>
        <w:tc>
          <w:tcPr>
            <w:tcW w:type="dxa" w:w="2400"/>
            <w:tcMar>
              <w:top w:type="dxa" w:w="80"/>
              <w:left w:type="dxa" w:w="100"/>
              <w:bottom w:type="dxa" w:w="80"/>
              <w:right w:type="dxa" w:w="100"/>
            </w:tcMar>
          </w:tcPr>
          <w:p>
            <w:r>
              <w:rPr>
                <w:b w:val="false"/>
                <w:bCs w:val="false"/>
              </w:rPr>
              <w:t xml:space="preserve">Home Depot Canada / Canadian Tire / Amazon.ca product page</w:t>
            </w:r>
          </w:p>
        </w:tc>
        <w:tc>
          <w:tcPr>
            <w:tcW w:type="dxa" w:w="2400"/>
            <w:tcMar>
              <w:top w:type="dxa" w:w="80"/>
              <w:left w:type="dxa" w:w="100"/>
              <w:bottom w:type="dxa" w:w="80"/>
              <w:right w:type="dxa" w:w="100"/>
            </w:tcMar>
          </w:tcPr>
          <w:p>
            <w:r>
              <w:rPr>
                <w:b w:val="false"/>
                <w:bCs w:val="false"/>
              </w:rPr>
              <w:t xml:space="preserve">Manufacturer site, Costco seasonal flyer</w:t>
            </w:r>
          </w:p>
        </w:tc>
        <w:tc>
          <w:tcPr>
            <w:tcW w:type="dxa" w:w="2760"/>
            <w:tcMar>
              <w:top w:type="dxa" w:w="80"/>
              <w:left w:type="dxa" w:w="100"/>
              <w:bottom w:type="dxa" w:w="80"/>
              <w:right w:type="dxa" w:w="100"/>
            </w:tcMar>
          </w:tcPr>
          <w:p>
            <w:r>
              <w:rPr>
                <w:b w:val="false"/>
                <w:bCs w:val="false"/>
              </w:rPr>
              <w:t xml:space="preserve">Use web_fetch on the direct product page whenever possible — search snippets often miss the price</w:t>
            </w:r>
          </w:p>
        </w:tc>
      </w:tr>
      <w:tr>
        <w:tc>
          <w:tcPr>
            <w:tcW w:type="dxa" w:w="1800"/>
            <w:tcMar>
              <w:top w:type="dxa" w:w="80"/>
              <w:left w:type="dxa" w:w="100"/>
              <w:bottom w:type="dxa" w:w="80"/>
              <w:right w:type="dxa" w:w="100"/>
            </w:tcMar>
          </w:tcPr>
          <w:p>
            <w:r>
              <w:rPr>
                <w:b w:val="false"/>
                <w:bCs w:val="false"/>
              </w:rPr>
              <w:t xml:space="preserve">Used / private sale</w:t>
            </w:r>
          </w:p>
        </w:tc>
        <w:tc>
          <w:tcPr>
            <w:tcW w:type="dxa" w:w="2400"/>
            <w:tcMar>
              <w:top w:type="dxa" w:w="80"/>
              <w:left w:type="dxa" w:w="100"/>
              <w:bottom w:type="dxa" w:w="80"/>
              <w:right w:type="dxa" w:w="100"/>
            </w:tcMar>
          </w:tcPr>
          <w:p>
            <w:r>
              <w:rPr>
                <w:b w:val="false"/>
                <w:bCs w:val="false"/>
              </w:rPr>
              <w:t xml:space="preserve">Kijiji Ontario (province-wide, not just Cornwall)</w:t>
            </w:r>
          </w:p>
        </w:tc>
        <w:tc>
          <w:tcPr>
            <w:tcW w:type="dxa" w:w="2400"/>
            <w:tcMar>
              <w:top w:type="dxa" w:w="80"/>
              <w:left w:type="dxa" w:w="100"/>
              <w:bottom w:type="dxa" w:w="80"/>
              <w:right w:type="dxa" w:w="100"/>
            </w:tcMar>
          </w:tcPr>
          <w:p>
            <w:r>
              <w:rPr>
                <w:b w:val="false"/>
                <w:bCs w:val="false"/>
              </w:rPr>
              <w:t xml:space="preserve">Facebook Marketplace (if searchable)</w:t>
            </w:r>
          </w:p>
        </w:tc>
        <w:tc>
          <w:tcPr>
            <w:tcW w:type="dxa" w:w="2760"/>
            <w:tcMar>
              <w:top w:type="dxa" w:w="80"/>
              <w:left w:type="dxa" w:w="100"/>
              <w:bottom w:type="dxa" w:w="80"/>
              <w:right w:type="dxa" w:w="100"/>
            </w:tcMar>
          </w:tcPr>
          <w:p>
            <w:r>
              <w:rPr>
                <w:b w:val="false"/>
                <w:bCs w:val="false"/>
              </w:rPr>
              <w:t xml:space="preserve">Search broad first ("[brand] [model]"), then narrow to Eastern Ontario cities if volume is low</w:t>
            </w:r>
          </w:p>
        </w:tc>
      </w:tr>
      <w:tr>
        <w:tc>
          <w:tcPr>
            <w:tcW w:type="dxa" w:w="1800"/>
            <w:tcMar>
              <w:top w:type="dxa" w:w="80"/>
              <w:left w:type="dxa" w:w="100"/>
              <w:bottom w:type="dxa" w:w="80"/>
              <w:right w:type="dxa" w:w="100"/>
            </w:tcMar>
          </w:tcPr>
          <w:p>
            <w:r>
              <w:rPr>
                <w:b w:val="false"/>
                <w:bCs w:val="false"/>
              </w:rPr>
              <w:t xml:space="preserve">Completed sales</w:t>
            </w:r>
          </w:p>
        </w:tc>
        <w:tc>
          <w:tcPr>
            <w:tcW w:type="dxa" w:w="2400"/>
            <w:tcMar>
              <w:top w:type="dxa" w:w="80"/>
              <w:left w:type="dxa" w:w="100"/>
              <w:bottom w:type="dxa" w:w="80"/>
              <w:right w:type="dxa" w:w="100"/>
            </w:tcMar>
          </w:tcPr>
          <w:p>
            <w:r>
              <w:rPr>
                <w:b w:val="false"/>
                <w:bCs w:val="false"/>
              </w:rPr>
              <w:t xml:space="preserve">eBay.ca sold/completed listings</w:t>
            </w:r>
          </w:p>
        </w:tc>
        <w:tc>
          <w:tcPr>
            <w:tcW w:type="dxa" w:w="2400"/>
            <w:tcMar>
              <w:top w:type="dxa" w:w="80"/>
              <w:left w:type="dxa" w:w="100"/>
              <w:bottom w:type="dxa" w:w="80"/>
              <w:right w:type="dxa" w:w="100"/>
            </w:tcMar>
          </w:tcPr>
          <w:p>
            <w:r>
              <w:rPr>
                <w:b w:val="false"/>
                <w:bCs w:val="false"/>
              </w:rPr>
              <w:t xml:space="preserve">eBay.com sold listings (convert USD→CAD)</w:t>
            </w:r>
          </w:p>
        </w:tc>
        <w:tc>
          <w:tcPr>
            <w:tcW w:type="dxa" w:w="2760"/>
            <w:tcMar>
              <w:top w:type="dxa" w:w="80"/>
              <w:left w:type="dxa" w:w="100"/>
              <w:bottom w:type="dxa" w:w="80"/>
              <w:right w:type="dxa" w:w="100"/>
            </w:tcMar>
          </w:tcPr>
          <w:p>
            <w:r>
              <w:rPr>
                <w:b w:val="false"/>
                <w:bCs w:val="false"/>
              </w:rPr>
              <w:t xml:space="preserve">Best real-world signal of an actual clearing price, not just an asking price</w:t>
            </w:r>
          </w:p>
        </w:tc>
      </w:tr>
      <w:tr>
        <w:tc>
          <w:tcPr>
            <w:tcW w:type="dxa" w:w="1800"/>
            <w:tcMar>
              <w:top w:type="dxa" w:w="80"/>
              <w:left w:type="dxa" w:w="100"/>
              <w:bottom w:type="dxa" w:w="80"/>
              <w:right w:type="dxa" w:w="100"/>
            </w:tcMar>
          </w:tcPr>
          <w:p>
            <w:r>
              <w:rPr>
                <w:b w:val="false"/>
                <w:bCs w:val="false"/>
              </w:rPr>
              <w:t xml:space="preserve">Open-box / clearance</w:t>
            </w:r>
          </w:p>
        </w:tc>
        <w:tc>
          <w:tcPr>
            <w:tcW w:type="dxa" w:w="2400"/>
            <w:tcMar>
              <w:top w:type="dxa" w:w="80"/>
              <w:left w:type="dxa" w:w="100"/>
              <w:bottom w:type="dxa" w:w="80"/>
              <w:right w:type="dxa" w:w="100"/>
            </w:tcMar>
          </w:tcPr>
          <w:p>
            <w:r>
              <w:rPr>
                <w:b w:val="false"/>
                <w:bCs w:val="false"/>
              </w:rPr>
              <w:t xml:space="preserve">Retailer open-box sections (Home Depot, Amazon Warehouse)</w:t>
            </w:r>
          </w:p>
        </w:tc>
        <w:tc>
          <w:tcPr>
            <w:tcW w:type="dxa" w:w="2400"/>
            <w:tcMar>
              <w:top w:type="dxa" w:w="80"/>
              <w:left w:type="dxa" w:w="100"/>
              <w:bottom w:type="dxa" w:w="80"/>
              <w:right w:type="dxa" w:w="100"/>
            </w:tcMar>
          </w:tcPr>
          <w:p>
            <w:r>
              <w:rPr>
                <w:b w:val="false"/>
                <w:bCs w:val="false"/>
              </w:rPr>
              <w:t xml:space="preserve">Calculated: ~15–25% below new retail</w:t>
            </w:r>
          </w:p>
        </w:tc>
        <w:tc>
          <w:tcPr>
            <w:tcW w:type="dxa" w:w="2760"/>
            <w:tcMar>
              <w:top w:type="dxa" w:w="80"/>
              <w:left w:type="dxa" w:w="100"/>
              <w:bottom w:type="dxa" w:w="80"/>
              <w:right w:type="dxa" w:w="100"/>
            </w:tcMar>
          </w:tcPr>
          <w:p>
            <w:r>
              <w:rPr>
                <w:b w:val="false"/>
                <w:bCs w:val="false"/>
              </w:rPr>
              <w:t xml:space="preserve">Use calculated estimate if no direct listing found</w:t>
            </w:r>
          </w:p>
        </w:tc>
      </w:tr>
    </w:tbl>
    <w:p>
      <w:pPr>
        <w:pStyle w:val="Heading1"/>
        <w:spacing w:after="120" w:before="240"/>
      </w:pPr>
      <w:r>
        <w:t xml:space="preserve">5. Workflow Steps (General Pathway)</w:t>
      </w:r>
    </w:p>
    <w:p>
      <w:pPr>
        <w:pStyle w:val="ListParagraph"/>
        <w:numPr>
          <w:ilvl w:val="0"/>
          <w:numId w:val="3"/>
        </w:numPr>
        <w:spacing w:after="60"/>
      </w:pPr>
      <w:r>
        <w:t xml:space="preserve">Identify the item from photos: brand, model number, UPC/barcode</w:t>
      </w:r>
    </w:p>
    <w:p>
      <w:pPr>
        <w:pStyle w:val="ListParagraph"/>
        <w:numPr>
          <w:ilvl w:val="0"/>
          <w:numId w:val="3"/>
        </w:numPr>
        <w:spacing w:after="60"/>
      </w:pPr>
      <w:r>
        <w:t xml:space="preserve">Search + web_fetch the retailer product page directly for CAD list price</w:t>
      </w:r>
    </w:p>
    <w:p>
      <w:pPr>
        <w:pStyle w:val="ListParagraph"/>
        <w:numPr>
          <w:ilvl w:val="0"/>
          <w:numId w:val="3"/>
        </w:numPr>
        <w:spacing w:after="60"/>
      </w:pPr>
      <w:r>
        <w:t xml:space="preserve">Search Kijiji Ontario for the same model — both "brand new/sealed" and "used" listings</w:t>
      </w:r>
    </w:p>
    <w:p>
      <w:pPr>
        <w:pStyle w:val="ListParagraph"/>
        <w:numPr>
          <w:ilvl w:val="0"/>
          <w:numId w:val="3"/>
        </w:numPr>
        <w:spacing w:after="60"/>
      </w:pPr>
      <w:r>
        <w:t xml:space="preserve">Search eBay sold/completed listings for the model (add "Canada" or convert from USD)</w:t>
      </w:r>
    </w:p>
    <w:p>
      <w:pPr>
        <w:pStyle w:val="ListParagraph"/>
        <w:numPr>
          <w:ilvl w:val="0"/>
          <w:numId w:val="3"/>
        </w:numPr>
        <w:spacing w:after="60"/>
      </w:pPr>
      <w:r>
        <w:t xml:space="preserve">Calculate open-box/clearance estimate if no direct listing exists (~15–25% below retail)</w:t>
      </w:r>
    </w:p>
    <w:p>
      <w:pPr>
        <w:pStyle w:val="ListParagraph"/>
        <w:numPr>
          <w:ilvl w:val="0"/>
          <w:numId w:val="3"/>
        </w:numPr>
        <w:spacing w:after="60"/>
      </w:pPr>
      <w:r>
        <w:t xml:space="preserve">Synthesize into a bottom-line recommended price for The Pawn Shop, with rationale</w:t>
      </w:r>
    </w:p>
    <w:p>
      <w:pPr>
        <w:pStyle w:val="ListParagraph"/>
        <w:numPr>
          <w:ilvl w:val="0"/>
          <w:numId w:val="3"/>
        </w:numPr>
        <w:spacing w:after="60"/>
      </w:pPr>
      <w:r>
        <w:t xml:space="preserve">On request, generate Facebook Marketplace / Kijiji listing copy at the agreed price</w:t>
      </w:r>
    </w:p>
    <w:p>
      <w:pPr>
        <w:pStyle w:val="Heading1"/>
        <w:spacing w:after="120" w:before="240"/>
      </w:pPr>
      <w:r>
        <w:t xml:space="preserve">6. Pricing Synthesis Rules (General Pathway)</w:t>
      </w:r>
    </w:p>
    <w:p>
      <w:pPr>
        <w:pStyle w:val="ListParagraph"/>
        <w:numPr>
          <w:ilvl w:val="0"/>
          <w:numId w:val="4"/>
        </w:numPr>
        <w:spacing w:after="60"/>
      </w:pPr>
      <w:r>
        <w:t xml:space="preserve">Start from the eBay sold/completed price if available — this is the most reliable signal of what a real buyer actually pays.</w:t>
      </w:r>
    </w:p>
    <w:p>
      <w:pPr>
        <w:pStyle w:val="ListParagraph"/>
        <w:numPr>
          <w:ilvl w:val="0"/>
          <w:numId w:val="4"/>
        </w:numPr>
        <w:spacing w:after="60"/>
      </w:pPr>
      <w:r>
        <w:t xml:space="preserve">Cross-check against the Kijiji Ontario "new/sealed" asking range — if eBay data is thin, this becomes the primary anchor.</w:t>
      </w:r>
    </w:p>
    <w:p>
      <w:pPr>
        <w:pStyle w:val="ListParagraph"/>
        <w:numPr>
          <w:ilvl w:val="0"/>
          <w:numId w:val="4"/>
        </w:numPr>
        <w:spacing w:after="60"/>
      </w:pPr>
      <w:r>
        <w:t xml:space="preserve">New retail price sets the ceiling. The Pawn Shop price should virtually always sit meaningfully below it (typically 15–40% off, depending on category) to read as a genuine deal.</w:t>
      </w:r>
    </w:p>
    <w:p>
      <w:pPr>
        <w:pStyle w:val="ListParagraph"/>
        <w:numPr>
          <w:ilvl w:val="0"/>
          <w:numId w:val="4"/>
        </w:numPr>
        <w:spacing w:after="60"/>
      </w:pPr>
      <w:r>
        <w:t xml:space="preserve">Used/private-sale Kijiji comps set the floor for anything not sealed/new.</w:t>
      </w:r>
    </w:p>
    <w:p>
      <w:pPr>
        <w:pStyle w:val="ListParagraph"/>
        <w:numPr>
          <w:ilvl w:val="0"/>
          <w:numId w:val="4"/>
        </w:numPr>
        <w:spacing w:after="60"/>
      </w:pPr>
      <w:r>
        <w:t xml:space="preserve">When sources conflict, weight toward the most recent listings and the most geographically relevant (Eastern Ontario over national averages).</w:t>
      </w:r>
    </w:p>
    <w:p>
      <w:pPr>
        <w:pStyle w:val="ListParagraph"/>
        <w:numPr>
          <w:ilvl w:val="0"/>
          <w:numId w:val="4"/>
        </w:numPr>
        <w:spacing w:after="60"/>
      </w:pPr>
      <w:r>
        <w:t xml:space="preserve">Always state the recommended price as a specific number, not just a range, when the output will be used for a price tag or listing.</w:t>
      </w:r>
    </w:p>
    <w:p>
      <w:pPr>
        <w:pStyle w:val="Heading1"/>
        <w:spacing w:after="120" w:before="240"/>
      </w:pPr>
      <w:r>
        <w:t xml:space="preserve">7. eBay Search Guidance</w:t>
      </w:r>
    </w:p>
    <w:p>
      <w:pPr>
        <w:pStyle w:val="ListParagraph"/>
        <w:numPr>
          <w:ilvl w:val="0"/>
          <w:numId w:val="2"/>
        </w:numPr>
        <w:spacing w:after="60"/>
      </w:pPr>
      <w:r>
        <w:t xml:space="preserve">Works best for smaller, easily shippable items (tools, electronics, accessories)</w:t>
      </w:r>
    </w:p>
    <w:p>
      <w:pPr>
        <w:pStyle w:val="ListParagraph"/>
        <w:numPr>
          <w:ilvl w:val="0"/>
          <w:numId w:val="2"/>
        </w:numPr>
        <w:spacing w:after="60"/>
      </w:pPr>
      <w:r>
        <w:t xml:space="preserve">Less reliable for large or bulky items (power stations, towables, furniture) since fewer people ship these — flag when data is thin rather than force a number</w:t>
      </w:r>
    </w:p>
    <w:p>
      <w:pPr>
        <w:pStyle w:val="ListParagraph"/>
        <w:numPr>
          <w:ilvl w:val="0"/>
          <w:numId w:val="2"/>
        </w:numPr>
        <w:spacing w:after="60"/>
      </w:pPr>
      <w:r>
        <w:t xml:space="preserve">Search specifically for "sold" or "completed" listings, not active/asking listings</w:t>
      </w:r>
    </w:p>
    <w:p>
      <w:pPr>
        <w:pStyle w:val="ListParagraph"/>
        <w:numPr>
          <w:ilvl w:val="0"/>
          <w:numId w:val="2"/>
        </w:numPr>
        <w:spacing w:after="60"/>
      </w:pPr>
      <w:r>
        <w:t xml:space="preserve">Convert USD sold prices to CAD using the current exchange rate, and note the conversion in the summary</w:t>
      </w:r>
    </w:p>
    <w:p>
      <w:pPr>
        <w:pStyle w:val="Heading1"/>
        <w:spacing w:after="120" w:before="240"/>
      </w:pPr>
      <w:r>
        <w:t xml:space="preserve">8. Output Format (General Pathway)</w:t>
      </w:r>
    </w:p>
    <w:p>
      <w:pPr>
        <w:pStyle w:val="ListParagraph"/>
        <w:numPr>
          <w:ilvl w:val="0"/>
          <w:numId w:val="5"/>
        </w:numPr>
        <w:spacing w:after="60"/>
      </w:pPr>
      <w:r>
        <w:t xml:space="preserve">New retail price (CAD) — with source</w:t>
      </w:r>
    </w:p>
    <w:p>
      <w:pPr>
        <w:pStyle w:val="ListParagraph"/>
        <w:numPr>
          <w:ilvl w:val="0"/>
          <w:numId w:val="5"/>
        </w:numPr>
        <w:spacing w:after="60"/>
      </w:pPr>
      <w:r>
        <w:t xml:space="preserve">Kijiji Ontario comps — new/sealed and used, with representative examples</w:t>
      </w:r>
    </w:p>
    <w:p>
      <w:pPr>
        <w:pStyle w:val="ListParagraph"/>
        <w:numPr>
          <w:ilvl w:val="0"/>
          <w:numId w:val="5"/>
        </w:numPr>
        <w:spacing w:after="60"/>
      </w:pPr>
      <w:r>
        <w:t xml:space="preserve">eBay sold listings (CAD) — with sample size noted, or flagged as thin/unavailable</w:t>
      </w:r>
    </w:p>
    <w:p>
      <w:pPr>
        <w:pStyle w:val="ListParagraph"/>
        <w:numPr>
          <w:ilvl w:val="0"/>
          <w:numId w:val="5"/>
        </w:numPr>
        <w:spacing w:after="60"/>
      </w:pPr>
      <w:r>
        <w:t xml:space="preserve">Open-box / clearance estimate — direct listing if found, otherwise calculated</w:t>
      </w:r>
    </w:p>
    <w:p>
      <w:pPr>
        <w:pStyle w:val="ListParagraph"/>
        <w:numPr>
          <w:ilvl w:val="0"/>
          <w:numId w:val="5"/>
        </w:numPr>
        <w:spacing w:after="60"/>
      </w:pPr>
      <w:r>
        <w:t xml:space="preserve">Bottom-line recommended price — one number, with a one-sentence rationale</w:t>
      </w:r>
    </w:p>
    <w:p>
      <w:pPr>
        <w:pStyle w:val="Heading1"/>
        <w:spacing w:after="120" w:before="240"/>
      </w:pPr>
      <w:r>
        <w:t xml:space="preserve">9. Marketplace Listing Handoff</w:t>
      </w:r>
    </w:p>
    <w:p>
      <w:pPr>
        <w:spacing w:after="120"/>
      </w:pPr>
      <w:r>
        <w:t xml:space="preserve">Once a price is agreed, the same conversation should produce ready-to-post Facebook Marketplace / Kijiji copy including:</w:t>
      </w:r>
    </w:p>
    <w:p>
      <w:pPr>
        <w:pStyle w:val="ListParagraph"/>
        <w:numPr>
          <w:ilvl w:val="0"/>
          <w:numId w:val="2"/>
        </w:numPr>
        <w:spacing w:after="60"/>
      </w:pPr>
      <w:r>
        <w:t xml:space="preserve">Item title with brand + model number</w:t>
      </w:r>
    </w:p>
    <w:p>
      <w:pPr>
        <w:pStyle w:val="ListParagraph"/>
        <w:numPr>
          <w:ilvl w:val="0"/>
          <w:numId w:val="2"/>
        </w:numPr>
        <w:spacing w:after="60"/>
      </w:pPr>
      <w:r>
        <w:t xml:space="preserve">Agreed price</w:t>
      </w:r>
    </w:p>
    <w:p>
      <w:pPr>
        <w:pStyle w:val="ListParagraph"/>
        <w:numPr>
          <w:ilvl w:val="0"/>
          <w:numId w:val="2"/>
        </w:numPr>
        <w:spacing w:after="60"/>
      </w:pPr>
      <w:r>
        <w:t xml:space="preserve">Key specs / features (bulleted, scannable)</w:t>
      </w:r>
    </w:p>
    <w:p>
      <w:pPr>
        <w:pStyle w:val="ListParagraph"/>
        <w:numPr>
          <w:ilvl w:val="0"/>
          <w:numId w:val="2"/>
        </w:numPr>
        <w:spacing w:after="60"/>
      </w:pPr>
      <w:r>
        <w:t xml:space="preserve">Condition notes (new/sealed vs. open box vs. used, including any cosmetic issues)</w:t>
      </w:r>
    </w:p>
    <w:p>
      <w:pPr>
        <w:pStyle w:val="ListParagraph"/>
        <w:numPr>
          <w:ilvl w:val="0"/>
          <w:numId w:val="2"/>
        </w:numPr>
        <w:spacing w:after="60"/>
      </w:pPr>
      <w:r>
        <w:t xml:space="preserve">Comparison to retail price ("Retails for $X — priced to sell")</w:t>
      </w:r>
    </w:p>
    <w:p>
      <w:pPr>
        <w:pStyle w:val="ListParagraph"/>
        <w:numPr>
          <w:ilvl w:val="0"/>
          <w:numId w:val="2"/>
        </w:numPr>
        <w:spacing w:after="60"/>
      </w:pPr>
      <w:r>
        <w:t xml:space="preserve">Payment terms: cash or debit accepted (no e-transfer)</w:t>
      </w:r>
    </w:p>
    <w:p>
      <w:pPr>
        <w:pStyle w:val="ListParagraph"/>
        <w:numPr>
          <w:ilvl w:val="0"/>
          <w:numId w:val="2"/>
        </w:numPr>
        <w:spacing w:after="60"/>
      </w:pPr>
      <w:r>
        <w:t xml:space="preserve">Pickup location: Cornwall (can meet nearby if needed)</w:t>
      </w:r>
    </w:p>
    <w:p>
      <w:pPr>
        <w:pStyle w:val="Heading1"/>
        <w:spacing w:after="120" w:before="240"/>
      </w:pPr>
      <w:r>
        <w:t xml:space="preserve">10. Revision History</w:t>
      </w:r>
    </w:p>
    <w:p>
      <w:pPr>
        <w:spacing w:after="120"/>
      </w:pPr>
      <w:r>
        <w:t xml:space="preserve">v1.0 — July 2026 — Initial SOP created from live pricing sessions covering EGO Nexus power station, Milwaukee M18 FUEL impact wrenches, DeWalt jobsite speaker, and Body Glove towable tube.</w:t>
      </w:r>
    </w:p>
    <w:p>
      <w:pPr>
        <w:spacing w:after="120"/>
      </w:pPr>
      <w:r>
        <w:t xml:space="preserve">v1.1 — August 2026 — Added Section 11 (Regulated Nicotine &amp; Tobacco-Adjacent Product Addendum) covering vape products and nicotine pouches, following a live pricing session on ALP Drifters Collection nicotine pouches. Updated Section 2 (Scope) to route these categories to the new addendum instead of the general pathway.</w:t>
      </w:r>
    </w:p>
    <w:p>
      <w:pPr>
        <w:spacing w:after="120"/>
      </w:pPr>
      <w:r>
        <w:t xml:space="preserve">v1.2 — August 2026 — Added Sections 11.3a (Puff-Count Tier Methodology) and 11.3b (Dual-Mode / Multi-Rated Puff Counts) following a live pricing session on a Geek Bar CLR 50K disposable vape. Section 11 previously treated pouches and vape hardware under one generic comp table without capturing that vapes are tiered by puff count rather than mg/count, and had no rule for devices that print two different puff ratings for two firing modes.</w:t>
      </w:r>
    </w:p>
    <w:p>
      <w:pPr>
        <w:spacing w:after="120"/>
      </w:pPr>
      <w:r>
        <w:t xml:space="preserve">v1.3 — August 2026 — Added Section 12 (Adult Novelty &amp; Sexual Enhancement Supplement Addendum) following a live pricing session on Pink Pussycat Honey. This category has no prior precedent in the SOP — it is a distinct regulatory/market situation from both the general pathway and the nicotine/vape addendum, with no Canadian retail benchmark typically available and its own platform-terms risk (Facebook Commerce Policies, Kijiji adult-item restrictions) separate from the legal advertising restrictions covered in Section 11.6. Updated Section 2 (Scope) and the Purpose statement accordingly.</w:t>
      </w:r>
    </w:p>
    <w:p>
      <w:pPr>
        <w:spacing w:after="120"/>
      </w:pPr>
      <w:r>
        <w:t xml:space="preserve">v1.4 — August 2026 — Clarified pricing philosophy: the 15–40% below-retail deal band is specific to the general liquidation pathway (Section 6) — tools, equipment, electronics, and similar home items. Vape/nicotine products (Section 11) and adult novelty/sexual enhancement supplements (Section 12) are priced at market value, matching the Canadian or US-converted benchmark rather than undercutting it. Updated Sections 11.4 and 12.4 accordingly.</w:t>
      </w:r>
    </w:p>
    <w:p>
      <w:pPr>
        <w:pStyle w:val="Heading1"/>
        <w:spacing w:after="120" w:before="240"/>
      </w:pPr>
      <w:r>
        <w:t xml:space="preserve">11. Regulated Nicotine &amp; Tobacco-Adjacent Product Addendum</w:t>
      </w:r>
    </w:p>
    <w:p>
      <w:pPr>
        <w:spacing w:after="120"/>
      </w:pPr>
      <w:r>
        <w:t xml:space="preserve">This addendum governs pricing research for vape products and nicotine pouches (e.g., ALP, ZYN, VELO, and similar). It replaces Sections 4–8 for these categories only. It exists because retail comps, MSRP, and secondary-market data behave differently for regulated nicotine products than for tools/electronics: many brands are US-only with no Canadian MSRP, resale marketplaces (Kijiji, eBay) carry little to no legitimate comp data, and public marketing of these products is restricted. Pricing philosophy also differs from the general pathway: this category is priced at market value, not at a discount — see Section 11.4.</w:t>
      </w:r>
    </w:p>
    <w:p>
      <w:pPr>
        <w:pStyle w:val="Heading2"/>
        <w:spacing w:after="100" w:before="200"/>
      </w:pPr>
      <w:r>
        <w:t xml:space="preserve">11.1 Scope note</w:t>
      </w:r>
    </w:p>
    <w:p>
      <w:pPr>
        <w:spacing w:after="120"/>
      </w:pPr>
      <w:r>
        <w:t xml:space="preserve">Applies to nicotine pouches and vape hardware/e-liquid. Does not apply to cannabis, tobacco (combustible), or fireworks, which remain out of scope for this SOP entirely and follow separate regulatory-driven processes.</w:t>
      </w:r>
    </w:p>
    <w:p>
      <w:pPr>
        <w:pStyle w:val="Heading2"/>
        <w:spacing w:after="100" w:before="200"/>
      </w:pPr>
      <w:r>
        <w:t xml:space="preserve">11.2 Required inputs</w:t>
      </w:r>
    </w:p>
    <w:p>
      <w:pPr>
        <w:pStyle w:val="ListParagraph"/>
        <w:numPr>
          <w:ilvl w:val="0"/>
          <w:numId w:val="2"/>
        </w:numPr>
        <w:spacing w:after="60"/>
      </w:pPr>
      <w:r>
        <w:t xml:space="preserve">Clear photo(s) of packaging showing brand, product line, flavor, and nicotine strength (mg)</w:t>
      </w:r>
    </w:p>
    <w:p>
      <w:pPr>
        <w:pStyle w:val="ListParagraph"/>
        <w:numPr>
          <w:ilvl w:val="0"/>
          <w:numId w:val="2"/>
        </w:numPr>
        <w:spacing w:after="60"/>
      </w:pPr>
      <w:r>
        <w:t xml:space="preserve">Pouch/puff count per unit and units per pack (e.g., 20 pouches/tin, 5 tins/sleeve)</w:t>
      </w:r>
    </w:p>
    <w:p>
      <w:pPr>
        <w:pStyle w:val="ListParagraph"/>
        <w:numPr>
          <w:ilvl w:val="0"/>
          <w:numId w:val="2"/>
        </w:numPr>
        <w:spacing w:after="60"/>
      </w:pPr>
      <w:r>
        <w:t xml:space="preserve">Any distributor/lot info visible on packaging (useful for confirming the item is a genuine liquidation source, not a diversion/grey-market risk)</w:t>
      </w:r>
    </w:p>
    <w:p>
      <w:pPr>
        <w:pStyle w:val="Heading2"/>
        <w:spacing w:after="100" w:before="200"/>
      </w:pPr>
      <w:r>
        <w:t xml:space="preserve">11.3 Data sources,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shd w:fill="D9D9D9" w:color="auto" w:val="clear"/>
            <w:tcMar>
              <w:top w:type="dxa" w:w="80"/>
              <w:left w:type="dxa" w:w="100"/>
              <w:bottom w:type="dxa" w:w="80"/>
              <w:right w:type="dxa" w:w="100"/>
            </w:tcMar>
          </w:tcPr>
          <w:p>
            <w:r>
              <w:rPr>
                <w:b/>
                <w:bCs/>
              </w:rPr>
              <w:t xml:space="preserve">Data Point</w:t>
            </w:r>
          </w:p>
        </w:tc>
        <w:tc>
          <w:tcPr>
            <w:tcW w:type="dxa" w:w="2600"/>
            <w:shd w:fill="D9D9D9" w:color="auto" w:val="clear"/>
            <w:tcMar>
              <w:top w:type="dxa" w:w="80"/>
              <w:left w:type="dxa" w:w="100"/>
              <w:bottom w:type="dxa" w:w="80"/>
              <w:right w:type="dxa" w:w="100"/>
            </w:tcMar>
          </w:tcPr>
          <w:p>
            <w:r>
              <w:rPr>
                <w:b/>
                <w:bCs/>
              </w:rPr>
              <w:t xml:space="preserve">Primary Source</w:t>
            </w:r>
          </w:p>
        </w:tc>
        <w:tc>
          <w:tcPr>
            <w:tcW w:type="dxa" w:w="2600"/>
            <w:shd w:fill="D9D9D9" w:color="auto" w:val="clear"/>
            <w:tcMar>
              <w:top w:type="dxa" w:w="80"/>
              <w:left w:type="dxa" w:w="100"/>
              <w:bottom w:type="dxa" w:w="80"/>
              <w:right w:type="dxa" w:w="100"/>
            </w:tcMar>
          </w:tcPr>
          <w:p>
            <w:r>
              <w:rPr>
                <w:b/>
                <w:bCs/>
              </w:rPr>
              <w:t xml:space="preserve">Backup Source</w:t>
            </w:r>
          </w:p>
        </w:tc>
        <w:tc>
          <w:tcPr>
            <w:tcW w:type="dxa" w:w="2360"/>
            <w:shd w:fill="D9D9D9" w:color="auto" w:val="clear"/>
            <w:tcMar>
              <w:top w:type="dxa" w:w="80"/>
              <w:left w:type="dxa" w:w="100"/>
              <w:bottom w:type="dxa" w:w="80"/>
              <w:right w:type="dxa" w:w="100"/>
            </w:tcMar>
          </w:tcPr>
          <w:p>
            <w:r>
              <w:rPr>
                <w:b/>
                <w:bCs/>
              </w:rPr>
              <w:t xml:space="preserve">Notes</w:t>
            </w:r>
          </w:p>
        </w:tc>
      </w:tr>
      <w:tr>
        <w:tc>
          <w:tcPr>
            <w:tcW w:type="dxa" w:w="1800"/>
            <w:tcMar>
              <w:top w:type="dxa" w:w="80"/>
              <w:left w:type="dxa" w:w="100"/>
              <w:bottom w:type="dxa" w:w="80"/>
              <w:right w:type="dxa" w:w="100"/>
            </w:tcMar>
          </w:tcPr>
          <w:p>
            <w:r>
              <w:rPr>
                <w:b w:val="false"/>
                <w:bCs w:val="false"/>
              </w:rPr>
              <w:t xml:space="preserve">Canadian category benchmark</w:t>
            </w:r>
          </w:p>
        </w:tc>
        <w:tc>
          <w:tcPr>
            <w:tcW w:type="dxa" w:w="2600"/>
            <w:tcMar>
              <w:top w:type="dxa" w:w="80"/>
              <w:left w:type="dxa" w:w="100"/>
              <w:bottom w:type="dxa" w:w="80"/>
              <w:right w:type="dxa" w:w="100"/>
            </w:tcMar>
          </w:tcPr>
          <w:p>
            <w:r>
              <w:rPr>
                <w:b w:val="false"/>
                <w:bCs w:val="false"/>
              </w:rPr>
              <w:t xml:space="preserve">Established Canadian nicotine-pouch/vape retailers (e.g., Native Smokes 4 Less, Nic Depot Canada, tobacco-canada.com, 180 Smoke, Vape Shed, Quality Vapes, Clutch Vape, VapeBest, Red Star Vapor)</w:t>
            </w:r>
          </w:p>
        </w:tc>
        <w:tc>
          <w:tcPr>
            <w:tcW w:type="dxa" w:w="2600"/>
            <w:tcMar>
              <w:top w:type="dxa" w:w="80"/>
              <w:left w:type="dxa" w:w="100"/>
              <w:bottom w:type="dxa" w:w="80"/>
              <w:right w:type="dxa" w:w="100"/>
            </w:tcMar>
          </w:tcPr>
          <w:p>
            <w:r>
              <w:rPr>
                <w:b w:val="false"/>
                <w:bCs w:val="false"/>
              </w:rPr>
              <w:t xml:space="preserve">Amazon.ca listings</w:t>
            </w:r>
          </w:p>
        </w:tc>
        <w:tc>
          <w:tcPr>
            <w:tcW w:type="dxa" w:w="2360"/>
            <w:tcMar>
              <w:top w:type="dxa" w:w="80"/>
              <w:left w:type="dxa" w:w="100"/>
              <w:bottom w:type="dxa" w:w="80"/>
              <w:right w:type="dxa" w:w="100"/>
            </w:tcMar>
          </w:tcPr>
          <w:p>
            <w:r>
              <w:rPr>
                <w:b w:val="false"/>
                <w:bCs w:val="false"/>
              </w:rPr>
              <w:t xml:space="preserve">Use the category leader (ZYN for pouches) as the anchor when the exact brand isn't carried in Canada — this is the primary real-world signal for what Ontario buyers expect to pay</w:t>
            </w:r>
          </w:p>
        </w:tc>
      </w:tr>
      <w:tr>
        <w:tc>
          <w:tcPr>
            <w:tcW w:type="dxa" w:w="1800"/>
            <w:tcMar>
              <w:top w:type="dxa" w:w="80"/>
              <w:left w:type="dxa" w:w="100"/>
              <w:bottom w:type="dxa" w:w="80"/>
              <w:right w:type="dxa" w:w="100"/>
            </w:tcMar>
          </w:tcPr>
          <w:p>
            <w:r>
              <w:rPr>
                <w:b w:val="false"/>
                <w:bCs w:val="false"/>
              </w:rPr>
              <w:t xml:space="preserve">Brand direct / US retail</w:t>
            </w:r>
          </w:p>
        </w:tc>
        <w:tc>
          <w:tcPr>
            <w:tcW w:type="dxa" w:w="2600"/>
            <w:tcMar>
              <w:top w:type="dxa" w:w="80"/>
              <w:left w:type="dxa" w:w="100"/>
              <w:bottom w:type="dxa" w:w="80"/>
              <w:right w:type="dxa" w:w="100"/>
            </w:tcMar>
          </w:tcPr>
          <w:p>
            <w:r>
              <w:rPr>
                <w:b w:val="false"/>
                <w:bCs w:val="false"/>
              </w:rPr>
              <w:t xml:space="preserve">Manufacturer's own site (e.g., alppouch.com)</w:t>
            </w:r>
          </w:p>
        </w:tc>
        <w:tc>
          <w:tcPr>
            <w:tcW w:type="dxa" w:w="2600"/>
            <w:tcMar>
              <w:top w:type="dxa" w:w="80"/>
              <w:left w:type="dxa" w:w="100"/>
              <w:bottom w:type="dxa" w:w="80"/>
              <w:right w:type="dxa" w:w="100"/>
            </w:tcMar>
          </w:tcPr>
          <w:p>
            <w:r>
              <w:rPr>
                <w:b w:val="false"/>
                <w:bCs w:val="false"/>
              </w:rPr>
              <w:t xml:space="preserve">US specialty retailers carrying the brand</w:t>
            </w:r>
          </w:p>
        </w:tc>
        <w:tc>
          <w:tcPr>
            <w:tcW w:type="dxa" w:w="2360"/>
            <w:tcMar>
              <w:top w:type="dxa" w:w="80"/>
              <w:left w:type="dxa" w:w="100"/>
              <w:bottom w:type="dxa" w:w="80"/>
              <w:right w:type="dxa" w:w="100"/>
            </w:tcMar>
          </w:tcPr>
          <w:p>
            <w:r>
              <w:rPr>
                <w:b w:val="false"/>
                <w:bCs w:val="false"/>
              </w:rPr>
              <w:t xml:space="preserve">Convert USD→CAD at current exchange rate; treat as a ceiling reference only, not a direct comp, since it reflects a different regulatory market</w:t>
            </w:r>
          </w:p>
        </w:tc>
      </w:tr>
      <w:tr>
        <w:tc>
          <w:tcPr>
            <w:tcW w:type="dxa" w:w="1800"/>
            <w:tcMar>
              <w:top w:type="dxa" w:w="80"/>
              <w:left w:type="dxa" w:w="100"/>
              <w:bottom w:type="dxa" w:w="80"/>
              <w:right w:type="dxa" w:w="100"/>
            </w:tcMar>
          </w:tcPr>
          <w:p>
            <w:r>
              <w:rPr>
                <w:b w:val="false"/>
                <w:bCs w:val="false"/>
              </w:rPr>
              <w:t xml:space="preserve">Kijiji Ontario / eBay comps</w:t>
            </w:r>
          </w:p>
        </w:tc>
        <w:tc>
          <w:tcPr>
            <w:tcW w:type="dxa" w:w="2600"/>
            <w:tcMar>
              <w:top w:type="dxa" w:w="80"/>
              <w:left w:type="dxa" w:w="100"/>
              <w:bottom w:type="dxa" w:w="80"/>
              <w:right w:type="dxa" w:w="100"/>
            </w:tcMar>
          </w:tcPr>
          <w:p>
            <w:r>
              <w:rPr>
                <w:b w:val="false"/>
                <w:bCs w:val="false"/>
              </w:rPr>
              <w:t xml:space="preserve">Kijiji Ontario</w:t>
            </w:r>
          </w:p>
        </w:tc>
        <w:tc>
          <w:tcPr>
            <w:tcW w:type="dxa" w:w="2600"/>
            <w:tcMar>
              <w:top w:type="dxa" w:w="80"/>
              <w:left w:type="dxa" w:w="100"/>
              <w:bottom w:type="dxa" w:w="80"/>
              <w:right w:type="dxa" w:w="100"/>
            </w:tcMar>
          </w:tcPr>
          <w:p>
            <w:r>
              <w:rPr>
                <w:b w:val="false"/>
                <w:bCs w:val="false"/>
              </w:rPr>
              <w:t xml:space="preserve">eBay sold/completed listings</w:t>
            </w:r>
          </w:p>
        </w:tc>
        <w:tc>
          <w:tcPr>
            <w:tcW w:type="dxa" w:w="2360"/>
            <w:tcMar>
              <w:top w:type="dxa" w:w="80"/>
              <w:left w:type="dxa" w:w="100"/>
              <w:bottom w:type="dxa" w:w="80"/>
              <w:right w:type="dxa" w:w="100"/>
            </w:tcMar>
          </w:tcPr>
          <w:p>
            <w:r>
              <w:rPr>
                <w:b w:val="false"/>
                <w:bCs w:val="false"/>
              </w:rPr>
              <w:t xml:space="preserve">Frequently thin or absent for nicotine products — flag explicitly rather than forcing a number, per Section 7 guidance</w:t>
            </w:r>
          </w:p>
        </w:tc>
      </w:tr>
      <w:tr>
        <w:tc>
          <w:tcPr>
            <w:tcW w:type="dxa" w:w="1800"/>
            <w:tcMar>
              <w:top w:type="dxa" w:w="80"/>
              <w:left w:type="dxa" w:w="100"/>
              <w:bottom w:type="dxa" w:w="80"/>
              <w:right w:type="dxa" w:w="100"/>
            </w:tcMar>
          </w:tcPr>
          <w:p>
            <w:r>
              <w:rPr>
                <w:b w:val="false"/>
                <w:bCs w:val="false"/>
              </w:rPr>
              <w:t xml:space="preserve">Grey-market/import pricing</w:t>
            </w:r>
          </w:p>
        </w:tc>
        <w:tc>
          <w:tcPr>
            <w:tcW w:type="dxa" w:w="2600"/>
            <w:tcMar>
              <w:top w:type="dxa" w:w="80"/>
              <w:left w:type="dxa" w:w="100"/>
              <w:bottom w:type="dxa" w:w="80"/>
              <w:right w:type="dxa" w:w="100"/>
            </w:tcMar>
          </w:tcPr>
          <w:p>
            <w:r>
              <w:rPr>
                <w:b w:val="false"/>
                <w:bCs w:val="false"/>
              </w:rPr>
              <w:t xml:space="preserve">Bulk European import resellers (e.g., whitepouches.com)</w:t>
            </w:r>
          </w:p>
        </w:tc>
        <w:tc>
          <w:tcPr>
            <w:tcW w:type="dxa" w:w="2600"/>
            <w:tcMar>
              <w:top w:type="dxa" w:w="80"/>
              <w:left w:type="dxa" w:w="100"/>
              <w:bottom w:type="dxa" w:w="80"/>
              <w:right w:type="dxa" w:w="100"/>
            </w:tcMar>
          </w:tcPr>
          <w:p>
            <w:r>
              <w:rPr>
                <w:b w:val="false"/>
                <w:bCs w:val="false"/>
              </w:rPr>
              <w:t xml:space="preserve">—</w:t>
            </w:r>
          </w:p>
        </w:tc>
        <w:tc>
          <w:tcPr>
            <w:tcW w:type="dxa" w:w="2360"/>
            <w:tcMar>
              <w:top w:type="dxa" w:w="80"/>
              <w:left w:type="dxa" w:w="100"/>
              <w:bottom w:type="dxa" w:w="80"/>
              <w:right w:type="dxa" w:w="100"/>
            </w:tcMar>
          </w:tcPr>
          <w:p>
            <w:r>
              <w:rPr>
                <w:b w:val="false"/>
                <w:bCs w:val="false"/>
              </w:rPr>
              <w:t xml:space="preserve">Note but do NOT anchor to these — bulk import pricing (sometimes under $4 CAD/can) is not representative of normal Ontario shelf retail and can misleadingly drag the recommended price too low</w:t>
            </w:r>
          </w:p>
        </w:tc>
      </w:tr>
    </w:tbl>
    <w:p>
      <w:pPr>
        <w:pStyle w:val="Heading2"/>
        <w:spacing w:after="100" w:before="200"/>
      </w:pPr>
      <w:r>
        <w:t xml:space="preserve">11.3a Puff-Count Tier Methodology (Disposable Vapes)</w:t>
      </w:r>
    </w:p>
    <w:p>
      <w:pPr>
        <w:spacing w:after="120"/>
      </w:pPr>
      <w:r>
        <w:t xml:space="preserve">Nicotine pouches are tiered by mg strength and pouch count; disposable vapes are tiered differently — by puff-count rating — and the Canadian vape retail market prices in visible tiers around that number. Use this sub-process for vape hardware/e-liquid devices specifically (pouches remain governed by 11.3/11.4 as written).</w:t>
      </w:r>
    </w:p>
    <w:p>
      <w:pPr>
        <w:pStyle w:val="ListParagraph"/>
        <w:numPr>
          <w:ilvl w:val="0"/>
          <w:numId w:val="2"/>
        </w:numPr>
        <w:spacing w:after="60"/>
      </w:pPr>
      <w:r>
        <w:t xml:space="preserve">Identify the device's advertised puff-count tier from the packaging (e.g., 25K, 35K, 50K, 70K).</w:t>
      </w:r>
    </w:p>
    <w:p>
      <w:pPr>
        <w:pStyle w:val="ListParagraph"/>
        <w:numPr>
          <w:ilvl w:val="0"/>
          <w:numId w:val="2"/>
        </w:numPr>
        <w:spacing w:after="60"/>
      </w:pPr>
      <w:r>
        <w:t xml:space="preserve">Search the Canadian category benchmark retailers (11.3 table) for the same tier, not just the same brand — puff-count tier is the dominant price driver across brands, more so than brand identity itself.</w:t>
      </w:r>
    </w:p>
    <w:p>
      <w:pPr>
        <w:pStyle w:val="ListParagraph"/>
        <w:numPr>
          <w:ilvl w:val="0"/>
          <w:numId w:val="2"/>
        </w:numPr>
        <w:spacing w:after="60"/>
      </w:pPr>
      <w:r>
        <w:t xml:space="preserve">Reference bands observed from live Canadian retailer pricing (record date checked — these drift and should be refreshed periodically, not treated as permanent): 25K tier ~$30–35 CAD · 35K tier ~$33–38 CAD · 50K–70K tier ~$44.99–45.99 CAD. Treat these as a starting reference, not a substitute for a fresh check when pricing a new item.</w:t>
      </w:r>
    </w:p>
    <w:p>
      <w:pPr>
        <w:pStyle w:val="ListParagraph"/>
        <w:numPr>
          <w:ilvl w:val="0"/>
          <w:numId w:val="2"/>
        </w:numPr>
        <w:spacing w:after="60"/>
      </w:pPr>
      <w:r>
        <w:t xml:space="preserve">Cross-check against US direct/retailer pricing converted to CAD as a ceiling reference, same as 11.3's brand-direct row.</w:t>
      </w:r>
    </w:p>
    <w:p>
      <w:pPr>
        <w:pStyle w:val="Heading2"/>
        <w:spacing w:after="100" w:before="200"/>
      </w:pPr>
      <w:r>
        <w:t xml:space="preserve">11.3b Dual-Mode / Multi-Rated Puff Counts</w:t>
      </w:r>
    </w:p>
    <w:p>
      <w:pPr>
        <w:spacing w:after="120"/>
      </w:pPr>
      <w:r>
        <w:t xml:space="preserve">Many current disposables print two puff counts for two firing modes (e.g., this item: "Regular Mode 50,000" / "Pulse Mode 25,000"). Brands are not consistent about which mode gets the higher number — on some product lines "Pulse" is the higher count, on others (like Geek Bar CLR) "Regular" is. Do not assume the naming convention; read both numbers off the actual packaging.</w:t>
      </w:r>
    </w:p>
    <w:p>
      <w:pPr>
        <w:pStyle w:val="ListParagraph"/>
        <w:numPr>
          <w:ilvl w:val="0"/>
          <w:numId w:val="2"/>
        </w:numPr>
        <w:spacing w:after="60"/>
      </w:pPr>
      <w:r>
        <w:t xml:space="preserve">For tier classification and comp-matching, use the higher of the two printed puff counts (the number the box markets most prominently / in largest type) — this is what the Canadian retail market prices against.</w:t>
      </w:r>
    </w:p>
    <w:p>
      <w:pPr>
        <w:pStyle w:val="ListParagraph"/>
        <w:numPr>
          <w:ilvl w:val="0"/>
          <w:numId w:val="2"/>
        </w:numPr>
        <w:spacing w:after="60"/>
      </w:pPr>
      <w:r>
        <w:t xml:space="preserve">Record both numbers in the item identification line of the output (e.g., "Regular Mode 50,000 / Pulse Mode 25,000") so the lower real-world mode isn't lost — it's relevant to the listing copy and to setting buyer expectations.</w:t>
      </w:r>
    </w:p>
    <w:p>
      <w:pPr>
        <w:pStyle w:val="Heading2"/>
        <w:spacing w:after="100" w:before="200"/>
      </w:pPr>
      <w:r>
        <w:t xml:space="preserve">11.4 Pricing synthesis rules</w:t>
      </w:r>
    </w:p>
    <w:p>
      <w:pPr>
        <w:pStyle w:val="ListParagraph"/>
        <w:numPr>
          <w:ilvl w:val="0"/>
          <w:numId w:val="6"/>
        </w:numPr>
        <w:spacing w:after="60"/>
      </w:pPr>
      <w:r>
        <w:t xml:space="preserve">If the exact brand has established Canadian retail presence, price at that market rate (same anchor logic as Section 6, but matched rather than discounted).</w:t>
      </w:r>
    </w:p>
    <w:p>
      <w:pPr>
        <w:pStyle w:val="ListParagraph"/>
        <w:numPr>
          <w:ilvl w:val="0"/>
          <w:numId w:val="6"/>
        </w:numPr>
        <w:spacing w:after="60"/>
      </w:pPr>
      <w:r>
        <w:t xml:space="preserve">If the exact brand is US-only or otherwise absent from the Canadian market (as with ALP), use the category leader's Canadian retail price as the market-value target, and note explicitly that the brand-specific comp is unavailable.</w:t>
      </w:r>
    </w:p>
    <w:p>
      <w:pPr>
        <w:pStyle w:val="ListParagraph"/>
        <w:numPr>
          <w:ilvl w:val="0"/>
          <w:numId w:val="6"/>
        </w:numPr>
        <w:spacing w:after="60"/>
      </w:pPr>
      <w:r>
        <w:t xml:space="preserve">If no Canadian benchmark exists at all, convert the brand's US direct price to CAD and use it as the market-value target rather than a discounted ceiling.</w:t>
      </w:r>
    </w:p>
    <w:p>
      <w:pPr>
        <w:pStyle w:val="ListParagraph"/>
        <w:numPr>
          <w:ilvl w:val="0"/>
          <w:numId w:val="6"/>
        </w:numPr>
        <w:spacing w:after="60"/>
      </w:pPr>
      <w:r>
        <w:t xml:space="preserve">Price at market value — match the Canadian category benchmark rather than undercutting it. Unlike general liquidation inventory (Section 6), vape/nicotine products are not priced at a discount to retail; the deal-band logic (15–40% below) is specific to tools, equipment, and similar liquidation categories and does not apply here.</w:t>
      </w:r>
    </w:p>
    <w:p>
      <w:pPr>
        <w:pStyle w:val="ListParagraph"/>
        <w:numPr>
          <w:ilvl w:val="0"/>
          <w:numId w:val="6"/>
        </w:numPr>
        <w:spacing w:after="60"/>
      </w:pPr>
      <w:r>
        <w:t xml:space="preserve">Always flag when Kijiji/eBay comps are thin or absent rather than forcing a number — this is expected and normal for this category.</w:t>
      </w:r>
    </w:p>
    <w:p>
      <w:pPr>
        <w:pStyle w:val="ListParagraph"/>
        <w:numPr>
          <w:ilvl w:val="0"/>
          <w:numId w:val="6"/>
        </w:numPr>
        <w:spacing w:after="60"/>
      </w:pPr>
      <w:r>
        <w:t xml:space="preserve">State the recommended price as a specific number (per unit and, where relevant, per multi-pack bundle).</w:t>
      </w:r>
    </w:p>
    <w:p>
      <w:pPr>
        <w:pStyle w:val="Heading2"/>
        <w:spacing w:after="100" w:before="200"/>
      </w:pPr>
      <w:r>
        <w:t xml:space="preserve">11.5 Margin target</w:t>
      </w:r>
    </w:p>
    <w:p>
      <w:pPr>
        <w:spacing w:after="120"/>
      </w:pPr>
      <w:r>
        <w:t xml:space="preserve">40% true gross margin (margin on sale price, not markup on cost) is the target for nicotine/vape inventory, consistent with existing vape-category guidance. If the deal-band price from Section 11.4 would fall below this margin threshold against known acquisition cost, margin protection takes priority — raise the price and flag the tension to Ryan rather than silently defaulting to the lower number.</w:t>
      </w:r>
    </w:p>
    <w:p>
      <w:pPr>
        <w:pStyle w:val="Heading2"/>
        <w:spacing w:after="100" w:before="200"/>
      </w:pPr>
      <w:r>
        <w:t xml:space="preserve">11.6 Advertising and marketing restriction</w:t>
      </w:r>
    </w:p>
    <w:p>
      <w:pPr>
        <w:spacing w:after="120"/>
      </w:pPr>
      <w:r>
        <w:t xml:space="preserve">Canada's Tobacco and Vaping Products Act restricts promotion of vaping and nicotine products, particularly on public social media visible to minors. This addendum covers PRICING RESEARCH ONLY. Do not generate public-facing marketing copy (Facebook Group posts, Marketplace ads, hashtag/social promotion) for nicotine pouches or vape products under Template 1 or Template 2 of the Social Media Playbook until Ryan has consulted a retail lawyer on compliant marketing for this category. In-store price tags and direct, non-promotional Kijiji/Marketplace listings limited to factual specs, price, and condition (Template 4 style) are lower-risk but should still avoid youth-appealing language, emoji-heavy copy, or flavor-forward marketing hooks.</w:t>
      </w:r>
    </w:p>
    <w:p>
      <w:pPr>
        <w:pStyle w:val="Heading2"/>
        <w:spacing w:after="100" w:before="200"/>
      </w:pPr>
      <w:r>
        <w:t xml:space="preserve">11.7 Output format</w:t>
      </w:r>
    </w:p>
    <w:p>
      <w:pPr>
        <w:pStyle w:val="ListParagraph"/>
        <w:numPr>
          <w:ilvl w:val="0"/>
          <w:numId w:val="7"/>
        </w:numPr>
        <w:spacing w:after="60"/>
      </w:pPr>
      <w:r>
        <w:t xml:space="preserve">Item identification — brand, product line, flavor/variant, strength, count/pack size</w:t>
      </w:r>
    </w:p>
    <w:p>
      <w:pPr>
        <w:pStyle w:val="ListParagraph"/>
        <w:numPr>
          <w:ilvl w:val="0"/>
          <w:numId w:val="7"/>
        </w:numPr>
        <w:spacing w:after="60"/>
      </w:pPr>
      <w:r>
        <w:t xml:space="preserve">Canadian category benchmark — source and price, with a note if the exact brand isn't the source</w:t>
      </w:r>
    </w:p>
    <w:p>
      <w:pPr>
        <w:pStyle w:val="ListParagraph"/>
        <w:numPr>
          <w:ilvl w:val="0"/>
          <w:numId w:val="7"/>
        </w:numPr>
        <w:spacing w:after="60"/>
      </w:pPr>
      <w:r>
        <w:t xml:space="preserve">Brand direct / US retail — CAD-converted, noted as ceiling reference only</w:t>
      </w:r>
    </w:p>
    <w:p>
      <w:pPr>
        <w:pStyle w:val="ListParagraph"/>
        <w:numPr>
          <w:ilvl w:val="0"/>
          <w:numId w:val="7"/>
        </w:numPr>
        <w:spacing w:after="60"/>
      </w:pPr>
      <w:r>
        <w:t xml:space="preserve">Kijiji/eBay comps — or flagged as thin/unavailable</w:t>
      </w:r>
    </w:p>
    <w:p>
      <w:pPr>
        <w:pStyle w:val="ListParagraph"/>
        <w:numPr>
          <w:ilvl w:val="0"/>
          <w:numId w:val="7"/>
        </w:numPr>
        <w:spacing w:after="60"/>
      </w:pPr>
      <w:r>
        <w:t xml:space="preserve">Grey-market import pricing — noted for awareness, explicitly excluded from the anchor</w:t>
      </w:r>
    </w:p>
    <w:p>
      <w:pPr>
        <w:pStyle w:val="ListParagraph"/>
        <w:numPr>
          <w:ilvl w:val="0"/>
          <w:numId w:val="7"/>
        </w:numPr>
        <w:spacing w:after="60"/>
      </w:pPr>
      <w:r>
        <w:t xml:space="preserve">Bottom-line recommended price — one number (per unit and per bundle if applicable), with a one-sentence rationale</w:t>
      </w:r>
    </w:p>
    <w:p>
      <w:pPr>
        <w:pStyle w:val="Heading1"/>
        <w:spacing w:after="120" w:before="240"/>
      </w:pPr>
      <w:r>
        <w:t xml:space="preserve">12. Adult Novelty &amp; Sexual Enhancement Supplement Addendum</w:t>
      </w:r>
    </w:p>
    <w:p>
      <w:pPr>
        <w:spacing w:after="120"/>
      </w:pPr>
      <w:r>
        <w:t xml:space="preserve">This addendum governs pricing research for adult novelty and sexual-enhancement dietary supplements (e.g., Pink Pussycat Honey, similar "honey" sachets, capsules, and gummies marketed for libido/performance). It replaces Sections 4–8 for this category, following the same logic as Section 11 but for a distinct regulatory and market reality: these products are typically FDA-unevaluated dietary supplements with no Canadian retail presence at all (not even a Canadian category leader), sold almost exclusively through US smoke shops, gas stations, and adult-novelty distributors, and they carry platform-terms risk on Facebook/Kijiji distinct from — and in addition to — the legal advertising restrictions that apply to nicotine and vape products. As with Section 11, this category is priced at market value, not at a discount to it.</w:t>
      </w:r>
    </w:p>
    <w:p>
      <w:pPr>
        <w:pStyle w:val="Heading2"/>
        <w:spacing w:after="100" w:before="200"/>
      </w:pPr>
      <w:r>
        <w:t xml:space="preserve">12.1 Scope note</w:t>
      </w:r>
    </w:p>
    <w:p>
      <w:pPr>
        <w:spacing w:after="120"/>
      </w:pPr>
      <w:r>
        <w:t xml:space="preserve">Applies to sexual-enhancement and adult-novelty consumable supplements (honey sachets, capsules, gummies, and similar). Does not apply to sex toys, novelty hardware, or lubricants, which carry their own platform and marketplace restrictions and are out of scope for this addendum.</w:t>
      </w:r>
    </w:p>
    <w:p>
      <w:pPr>
        <w:pStyle w:val="Heading2"/>
        <w:spacing w:after="100" w:before="200"/>
      </w:pPr>
      <w:r>
        <w:t xml:space="preserve">12.2 Required inputs</w:t>
      </w:r>
    </w:p>
    <w:p>
      <w:pPr>
        <w:pStyle w:val="ListParagraph"/>
        <w:numPr>
          <w:ilvl w:val="0"/>
          <w:numId w:val="2"/>
        </w:numPr>
        <w:spacing w:after="60"/>
      </w:pPr>
      <w:r>
        <w:t xml:space="preserve">Clear photo(s) of packaging showing brand, product line/flavor, and net weight or count per sachet/capsule</w:t>
      </w:r>
    </w:p>
    <w:p>
      <w:pPr>
        <w:pStyle w:val="ListParagraph"/>
        <w:numPr>
          <w:ilvl w:val="0"/>
          <w:numId w:val="2"/>
        </w:numPr>
        <w:spacing w:after="60"/>
      </w:pPr>
      <w:r>
        <w:t xml:space="preserve">Serving size, count per box, and any dosage/frequency limits printed on the label (e.g., "no more than one packet every 60 hours")</w:t>
      </w:r>
    </w:p>
    <w:p>
      <w:pPr>
        <w:pStyle w:val="ListParagraph"/>
        <w:numPr>
          <w:ilvl w:val="0"/>
          <w:numId w:val="2"/>
        </w:numPr>
        <w:spacing w:after="60"/>
      </w:pPr>
      <w:r>
        <w:t xml:space="preserve">Expiry date, if visible — useful for confirming saleable shelf life on liquidation stock</w:t>
      </w:r>
    </w:p>
    <w:p>
      <w:pPr>
        <w:pStyle w:val="Heading2"/>
        <w:spacing w:after="100" w:before="200"/>
      </w:pPr>
      <w:r>
        <w:t xml:space="preserve">12.3 Data sources,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shd w:fill="D9D9D9" w:color="auto" w:val="clear"/>
            <w:tcMar>
              <w:top w:type="dxa" w:w="80"/>
              <w:left w:type="dxa" w:w="100"/>
              <w:bottom w:type="dxa" w:w="80"/>
              <w:right w:type="dxa" w:w="100"/>
            </w:tcMar>
          </w:tcPr>
          <w:p>
            <w:r>
              <w:rPr>
                <w:b/>
                <w:bCs/>
              </w:rPr>
              <w:t xml:space="preserve">Data Point</w:t>
            </w:r>
          </w:p>
        </w:tc>
        <w:tc>
          <w:tcPr>
            <w:tcW w:type="dxa" w:w="2600"/>
            <w:shd w:fill="D9D9D9" w:color="auto" w:val="clear"/>
            <w:tcMar>
              <w:top w:type="dxa" w:w="80"/>
              <w:left w:type="dxa" w:w="100"/>
              <w:bottom w:type="dxa" w:w="80"/>
              <w:right w:type="dxa" w:w="100"/>
            </w:tcMar>
          </w:tcPr>
          <w:p>
            <w:r>
              <w:rPr>
                <w:b/>
                <w:bCs/>
              </w:rPr>
              <w:t xml:space="preserve">Primary Source</w:t>
            </w:r>
          </w:p>
        </w:tc>
        <w:tc>
          <w:tcPr>
            <w:tcW w:type="dxa" w:w="2600"/>
            <w:shd w:fill="D9D9D9" w:color="auto" w:val="clear"/>
            <w:tcMar>
              <w:top w:type="dxa" w:w="80"/>
              <w:left w:type="dxa" w:w="100"/>
              <w:bottom w:type="dxa" w:w="80"/>
              <w:right w:type="dxa" w:w="100"/>
            </w:tcMar>
          </w:tcPr>
          <w:p>
            <w:r>
              <w:rPr>
                <w:b/>
                <w:bCs/>
              </w:rPr>
              <w:t xml:space="preserve">Backup Source</w:t>
            </w:r>
          </w:p>
        </w:tc>
        <w:tc>
          <w:tcPr>
            <w:tcW w:type="dxa" w:w="2360"/>
            <w:shd w:fill="D9D9D9" w:color="auto" w:val="clear"/>
            <w:tcMar>
              <w:top w:type="dxa" w:w="80"/>
              <w:left w:type="dxa" w:w="100"/>
              <w:bottom w:type="dxa" w:w="80"/>
              <w:right w:type="dxa" w:w="100"/>
            </w:tcMar>
          </w:tcPr>
          <w:p>
            <w:r>
              <w:rPr>
                <w:b/>
                <w:bCs/>
              </w:rPr>
              <w:t xml:space="preserve">Notes</w:t>
            </w:r>
          </w:p>
        </w:tc>
      </w:tr>
      <w:tr>
        <w:tc>
          <w:tcPr>
            <w:tcW w:type="dxa" w:w="1800"/>
            <w:tcMar>
              <w:top w:type="dxa" w:w="80"/>
              <w:left w:type="dxa" w:w="100"/>
              <w:bottom w:type="dxa" w:w="80"/>
              <w:right w:type="dxa" w:w="100"/>
            </w:tcMar>
          </w:tcPr>
          <w:p>
            <w:r>
              <w:rPr>
                <w:b w:val="false"/>
                <w:bCs w:val="false"/>
              </w:rPr>
              <w:t xml:space="preserve">US retail benchmark</w:t>
            </w:r>
          </w:p>
        </w:tc>
        <w:tc>
          <w:tcPr>
            <w:tcW w:type="dxa" w:w="2600"/>
            <w:tcMar>
              <w:top w:type="dxa" w:w="80"/>
              <w:left w:type="dxa" w:w="100"/>
              <w:bottom w:type="dxa" w:w="80"/>
              <w:right w:type="dxa" w:w="100"/>
            </w:tcMar>
          </w:tcPr>
          <w:p>
            <w:r>
              <w:rPr>
                <w:b w:val="false"/>
                <w:bCs w:val="false"/>
              </w:rPr>
              <w:t xml:space="preserve">Brand's own site and established US smoke-shop / adult-novelty retailers</w:t>
            </w:r>
          </w:p>
        </w:tc>
        <w:tc>
          <w:tcPr>
            <w:tcW w:type="dxa" w:w="2600"/>
            <w:tcMar>
              <w:top w:type="dxa" w:w="80"/>
              <w:left w:type="dxa" w:w="100"/>
              <w:bottom w:type="dxa" w:w="80"/>
              <w:right w:type="dxa" w:w="100"/>
            </w:tcMar>
          </w:tcPr>
          <w:p>
            <w:r>
              <w:rPr>
                <w:b w:val="false"/>
                <w:bCs w:val="false"/>
              </w:rPr>
              <w:t xml:space="preserve">Amazon.com (if listed), general web search of the exact product name</w:t>
            </w:r>
          </w:p>
        </w:tc>
        <w:tc>
          <w:tcPr>
            <w:tcW w:type="dxa" w:w="2360"/>
            <w:tcMar>
              <w:top w:type="dxa" w:w="80"/>
              <w:left w:type="dxa" w:w="100"/>
              <w:bottom w:type="dxa" w:w="80"/>
              <w:right w:type="dxa" w:w="100"/>
            </w:tcMar>
          </w:tcPr>
          <w:p>
            <w:r>
              <w:rPr>
                <w:b w:val="false"/>
                <w:bCs w:val="false"/>
              </w:rPr>
              <w:t xml:space="preserve">Serves as the PRIMARY anchor for this category — unlike nicotine pouches, there is usually no Canadian category leader to fall back on at all</w:t>
            </w:r>
          </w:p>
        </w:tc>
      </w:tr>
      <w:tr>
        <w:tc>
          <w:tcPr>
            <w:tcW w:type="dxa" w:w="1800"/>
            <w:tcMar>
              <w:top w:type="dxa" w:w="80"/>
              <w:left w:type="dxa" w:w="100"/>
              <w:bottom w:type="dxa" w:w="80"/>
              <w:right w:type="dxa" w:w="100"/>
            </w:tcMar>
          </w:tcPr>
          <w:p>
            <w:r>
              <w:rPr>
                <w:b w:val="false"/>
                <w:bCs w:val="false"/>
              </w:rPr>
              <w:t xml:space="preserve">Wholesale / case cost</w:t>
            </w:r>
          </w:p>
        </w:tc>
        <w:tc>
          <w:tcPr>
            <w:tcW w:type="dxa" w:w="2600"/>
            <w:tcMar>
              <w:top w:type="dxa" w:w="80"/>
              <w:left w:type="dxa" w:w="100"/>
              <w:bottom w:type="dxa" w:w="80"/>
              <w:right w:type="dxa" w:w="100"/>
            </w:tcMar>
          </w:tcPr>
          <w:p>
            <w:r>
              <w:rPr>
                <w:b w:val="false"/>
                <w:bCs w:val="false"/>
              </w:rPr>
              <w:t xml:space="preserve">US smoke-shop wholesale distributor listings (per-unit case pricing)</w:t>
            </w:r>
          </w:p>
        </w:tc>
        <w:tc>
          <w:tcPr>
            <w:tcW w:type="dxa" w:w="2600"/>
            <w:tcMar>
              <w:top w:type="dxa" w:w="80"/>
              <w:left w:type="dxa" w:w="100"/>
              <w:bottom w:type="dxa" w:w="80"/>
              <w:right w:type="dxa" w:w="100"/>
            </w:tcMar>
          </w:tcPr>
          <w:p>
            <w:r>
              <w:rPr>
                <w:b w:val="false"/>
                <w:bCs w:val="false"/>
              </w:rPr>
              <w:t xml:space="preserve">—</w:t>
            </w:r>
          </w:p>
        </w:tc>
        <w:tc>
          <w:tcPr>
            <w:tcW w:type="dxa" w:w="2360"/>
            <w:tcMar>
              <w:top w:type="dxa" w:w="80"/>
              <w:left w:type="dxa" w:w="100"/>
              <w:bottom w:type="dxa" w:w="80"/>
              <w:right w:type="dxa" w:w="100"/>
            </w:tcMar>
          </w:tcPr>
          <w:p>
            <w:r>
              <w:rPr>
                <w:b w:val="false"/>
                <w:bCs w:val="false"/>
              </w:rPr>
              <w:t xml:space="preserve">Useful as a margin-floor sanity check, not a target — reflects new-wholesale cost, not Ryan's liquidation acquisition cost</w:t>
            </w:r>
          </w:p>
        </w:tc>
      </w:tr>
      <w:tr>
        <w:tc>
          <w:tcPr>
            <w:tcW w:type="dxa" w:w="1800"/>
            <w:tcMar>
              <w:top w:type="dxa" w:w="80"/>
              <w:left w:type="dxa" w:w="100"/>
              <w:bottom w:type="dxa" w:w="80"/>
              <w:right w:type="dxa" w:w="100"/>
            </w:tcMar>
          </w:tcPr>
          <w:p>
            <w:r>
              <w:rPr>
                <w:b w:val="false"/>
                <w:bCs w:val="false"/>
              </w:rPr>
              <w:t xml:space="preserve">Canadian retail</w:t>
            </w:r>
          </w:p>
        </w:tc>
        <w:tc>
          <w:tcPr>
            <w:tcW w:type="dxa" w:w="2600"/>
            <w:tcMar>
              <w:top w:type="dxa" w:w="80"/>
              <w:left w:type="dxa" w:w="100"/>
              <w:bottom w:type="dxa" w:w="80"/>
              <w:right w:type="dxa" w:w="100"/>
            </w:tcMar>
          </w:tcPr>
          <w:p>
            <w:r>
              <w:rPr>
                <w:b w:val="false"/>
                <w:bCs w:val="false"/>
              </w:rPr>
              <w:t xml:space="preserve">General web search for Canadian smoke shops / adult retailers carrying the exact brand</w:t>
            </w:r>
          </w:p>
        </w:tc>
        <w:tc>
          <w:tcPr>
            <w:tcW w:type="dxa" w:w="2600"/>
            <w:tcMar>
              <w:top w:type="dxa" w:w="80"/>
              <w:left w:type="dxa" w:w="100"/>
              <w:bottom w:type="dxa" w:w="80"/>
              <w:right w:type="dxa" w:w="100"/>
            </w:tcMar>
          </w:tcPr>
          <w:p>
            <w:r>
              <w:rPr>
                <w:b w:val="false"/>
                <w:bCs w:val="false"/>
              </w:rPr>
              <w:t xml:space="preserve">Amazon.ca</w:t>
            </w:r>
          </w:p>
        </w:tc>
        <w:tc>
          <w:tcPr>
            <w:tcW w:type="dxa" w:w="2360"/>
            <w:tcMar>
              <w:top w:type="dxa" w:w="80"/>
              <w:left w:type="dxa" w:w="100"/>
              <w:bottom w:type="dxa" w:w="80"/>
              <w:right w:type="dxa" w:w="100"/>
            </w:tcMar>
          </w:tcPr>
          <w:p>
            <w:r>
              <w:rPr>
                <w:b w:val="false"/>
                <w:bCs w:val="false"/>
              </w:rPr>
              <w:t xml:space="preserve">Frequently absent entirely for this category — flag explicitly rather than forcing a number, per Section 7 guidance</w:t>
            </w:r>
          </w:p>
        </w:tc>
      </w:tr>
      <w:tr>
        <w:tc>
          <w:tcPr>
            <w:tcW w:type="dxa" w:w="1800"/>
            <w:tcMar>
              <w:top w:type="dxa" w:w="80"/>
              <w:left w:type="dxa" w:w="100"/>
              <w:bottom w:type="dxa" w:w="80"/>
              <w:right w:type="dxa" w:w="100"/>
            </w:tcMar>
          </w:tcPr>
          <w:p>
            <w:r>
              <w:rPr>
                <w:b w:val="false"/>
                <w:bCs w:val="false"/>
              </w:rPr>
              <w:t xml:space="preserve">Kijiji Ontario / eBay comps</w:t>
            </w:r>
          </w:p>
        </w:tc>
        <w:tc>
          <w:tcPr>
            <w:tcW w:type="dxa" w:w="2600"/>
            <w:tcMar>
              <w:top w:type="dxa" w:w="80"/>
              <w:left w:type="dxa" w:w="100"/>
              <w:bottom w:type="dxa" w:w="80"/>
              <w:right w:type="dxa" w:w="100"/>
            </w:tcMar>
          </w:tcPr>
          <w:p>
            <w:r>
              <w:rPr>
                <w:b w:val="false"/>
                <w:bCs w:val="false"/>
              </w:rPr>
              <w:t xml:space="preserve">Kijiji Ontario</w:t>
            </w:r>
          </w:p>
        </w:tc>
        <w:tc>
          <w:tcPr>
            <w:tcW w:type="dxa" w:w="2600"/>
            <w:tcMar>
              <w:top w:type="dxa" w:w="80"/>
              <w:left w:type="dxa" w:w="100"/>
              <w:bottom w:type="dxa" w:w="80"/>
              <w:right w:type="dxa" w:w="100"/>
            </w:tcMar>
          </w:tcPr>
          <w:p>
            <w:r>
              <w:rPr>
                <w:b w:val="false"/>
                <w:bCs w:val="false"/>
              </w:rPr>
              <w:t xml:space="preserve">eBay sold/completed listings</w:t>
            </w:r>
          </w:p>
        </w:tc>
        <w:tc>
          <w:tcPr>
            <w:tcW w:type="dxa" w:w="2360"/>
            <w:tcMar>
              <w:top w:type="dxa" w:w="80"/>
              <w:left w:type="dxa" w:w="100"/>
              <w:bottom w:type="dxa" w:w="80"/>
              <w:right w:type="dxa" w:w="100"/>
            </w:tcMar>
          </w:tcPr>
          <w:p>
            <w:r>
              <w:rPr>
                <w:b w:val="false"/>
                <w:bCs w:val="false"/>
              </w:rPr>
              <w:t xml:space="preserve">Expected to be thin or absent — consumable supplements in this category are not typically resold peer-to-peer</w:t>
            </w:r>
          </w:p>
        </w:tc>
      </w:tr>
    </w:tbl>
    <w:p>
      <w:pPr>
        <w:pStyle w:val="Heading2"/>
        <w:spacing w:after="100" w:before="200"/>
      </w:pPr>
      <w:r>
        <w:t xml:space="preserve">12.4 Pricing synthesis rules</w:t>
      </w:r>
    </w:p>
    <w:p>
      <w:pPr>
        <w:pStyle w:val="ListParagraph"/>
        <w:numPr>
          <w:ilvl w:val="0"/>
          <w:numId w:val="8"/>
        </w:numPr>
        <w:spacing w:after="60"/>
      </w:pPr>
      <w:r>
        <w:t xml:space="preserve">Use the median of legitimate US retail listings for the exact product and pack size as the market-value target — exclude obvious outliers (e.g., bundled kits, multi-packs of a different sachet count) rather than averaging them in.</w:t>
      </w:r>
    </w:p>
    <w:p>
      <w:pPr>
        <w:pStyle w:val="ListParagraph"/>
        <w:numPr>
          <w:ilvl w:val="0"/>
          <w:numId w:val="8"/>
        </w:numPr>
        <w:spacing w:after="60"/>
      </w:pPr>
      <w:r>
        <w:t xml:space="preserve">Convert the US median to CAD and price at that market rate rather than discounting below it — the deal-band logic in Section 6 is specific to general liquidation inventory (tools, equipment, home items) and does not apply to this category.</w:t>
      </w:r>
    </w:p>
    <w:p>
      <w:pPr>
        <w:pStyle w:val="ListParagraph"/>
        <w:numPr>
          <w:ilvl w:val="0"/>
          <w:numId w:val="8"/>
        </w:numPr>
        <w:spacing w:after="60"/>
      </w:pPr>
      <w:r>
        <w:t xml:space="preserve">A Canadian category benchmark is usually unavailable for this category (unlike nicotine, where ZYN can serve as a fallback anchor); when one is found, price to match it rather than undercut it.</w:t>
      </w:r>
    </w:p>
    <w:p>
      <w:pPr>
        <w:pStyle w:val="ListParagraph"/>
        <w:numPr>
          <w:ilvl w:val="0"/>
          <w:numId w:val="8"/>
        </w:numPr>
        <w:spacing w:after="60"/>
      </w:pPr>
      <w:r>
        <w:t xml:space="preserve">Cross-check against wholesale/case cost where available as a margin-floor sanity check.</w:t>
      </w:r>
    </w:p>
    <w:p>
      <w:pPr>
        <w:pStyle w:val="ListParagraph"/>
        <w:numPr>
          <w:ilvl w:val="0"/>
          <w:numId w:val="8"/>
        </w:numPr>
        <w:spacing w:after="60"/>
      </w:pPr>
      <w:r>
        <w:t xml:space="preserve">Always flag when Kijiji/eBay comps or a Canadian retail benchmark are thin or absent rather than forcing a number — this is expected and normal for this category.</w:t>
      </w:r>
    </w:p>
    <w:p>
      <w:pPr>
        <w:pStyle w:val="ListParagraph"/>
        <w:numPr>
          <w:ilvl w:val="0"/>
          <w:numId w:val="8"/>
        </w:numPr>
        <w:spacing w:after="60"/>
      </w:pPr>
      <w:r>
        <w:t xml:space="preserve">State the recommended price as a specific number per unit/box.</w:t>
      </w:r>
    </w:p>
    <w:p>
      <w:pPr>
        <w:pStyle w:val="Heading2"/>
        <w:spacing w:after="100" w:before="200"/>
      </w:pPr>
      <w:r>
        <w:t xml:space="preserve">12.5 Margin target</w:t>
      </w:r>
    </w:p>
    <w:p>
      <w:pPr>
        <w:spacing w:after="120"/>
      </w:pPr>
      <w:r>
        <w:t xml:space="preserve">40% true gross margin (margin on sale price, not markup on cost) applies to this category as well, consistent with Sections 6 and 11.5. If the deal-band price from Section 12.4 would fall below this threshold against known acquisition cost, margin protection takes priority — raise the price and flag the tension to Ryan rather than silently defaulting to the lower number.</w:t>
      </w:r>
    </w:p>
    <w:p>
      <w:pPr>
        <w:pStyle w:val="Heading2"/>
        <w:spacing w:after="100" w:before="200"/>
      </w:pPr>
      <w:r>
        <w:t xml:space="preserve">12.6 Platform and marketing restriction</w:t>
      </w:r>
    </w:p>
    <w:p>
      <w:pPr>
        <w:spacing w:after="120"/>
      </w:pPr>
      <w:r>
        <w:t xml:space="preserve">This category carries platform-terms risk distinct from the legal advertising restrictions that apply to nicotine/vape (Section 11.6). Facebook's Commerce Policies restrict adult products, including sexual-enhancement items, on Marketplace and Shops specifically — separate from and in addition to Meta's paid-ad restrictions on sexual-enhancement products. Kijiji carries similar restrictions on adult items in its classifieds. Do not generate Template 1 or Template 2 copy for this category, and do not assume a Template 4 listing is automatically safe on Facebook Marketplace or Kijiji — verify current platform item policies before posting. Default to in-store-only sale, or a minimal, non-explicit Template 4-style listing (factual specs and price only, no efficacy claims lifted from packaging) until platform policies are confirmed.</w:t>
      </w:r>
    </w:p>
    <w:p>
      <w:pPr>
        <w:pStyle w:val="Heading2"/>
        <w:spacing w:after="100" w:before="200"/>
      </w:pPr>
      <w:r>
        <w:t xml:space="preserve">12.7 Output format</w:t>
      </w:r>
    </w:p>
    <w:p>
      <w:pPr>
        <w:pStyle w:val="ListParagraph"/>
        <w:numPr>
          <w:ilvl w:val="0"/>
          <w:numId w:val="9"/>
        </w:numPr>
        <w:spacing w:after="60"/>
      </w:pPr>
      <w:r>
        <w:t xml:space="preserve">Item identification — brand, product line/flavor, net weight, count per box</w:t>
      </w:r>
    </w:p>
    <w:p>
      <w:pPr>
        <w:pStyle w:val="ListParagraph"/>
        <w:numPr>
          <w:ilvl w:val="0"/>
          <w:numId w:val="9"/>
        </w:numPr>
        <w:spacing w:after="60"/>
      </w:pPr>
      <w:r>
        <w:t xml:space="preserve">US retail benchmark — median price with sources, outliers excluded and noted</w:t>
      </w:r>
    </w:p>
    <w:p>
      <w:pPr>
        <w:pStyle w:val="ListParagraph"/>
        <w:numPr>
          <w:ilvl w:val="0"/>
          <w:numId w:val="9"/>
        </w:numPr>
        <w:spacing w:after="60"/>
      </w:pPr>
      <w:r>
        <w:t xml:space="preserve">Wholesale/case cost — noted for awareness as a margin-floor reference</w:t>
      </w:r>
    </w:p>
    <w:p>
      <w:pPr>
        <w:pStyle w:val="ListParagraph"/>
        <w:numPr>
          <w:ilvl w:val="0"/>
          <w:numId w:val="9"/>
        </w:numPr>
        <w:spacing w:after="60"/>
      </w:pPr>
      <w:r>
        <w:t xml:space="preserve">Canadian retail — or flagged as absent</w:t>
      </w:r>
    </w:p>
    <w:p>
      <w:pPr>
        <w:pStyle w:val="ListParagraph"/>
        <w:numPr>
          <w:ilvl w:val="0"/>
          <w:numId w:val="9"/>
        </w:numPr>
        <w:spacing w:after="60"/>
      </w:pPr>
      <w:r>
        <w:t xml:space="preserve">Kijiji/eBay comps — or flagged as thin/unavailable</w:t>
      </w:r>
    </w:p>
    <w:p>
      <w:pPr>
        <w:pStyle w:val="ListParagraph"/>
        <w:numPr>
          <w:ilvl w:val="0"/>
          <w:numId w:val="9"/>
        </w:numPr>
        <w:spacing w:after="60"/>
      </w:pPr>
      <w:r>
        <w:t xml:space="preserve">Bottom-line recommended price — one number, with a one-sentence rationale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abstractNum w:abstractNumId="8" w15:restartNumberingAfterBreak="0">
    <w:multiLevelType w:val="hybridMultilevel"/>
    <w:lvl w:ilvl="0" w15:tentative="1">
      <w:start w:val="1"/>
      <w:numFmt w:val="decimal"/>
      <w:lvlText w:val="%1."/>
      <w:lvlJc w:val="left"/>
      <w:pPr>
        <w:ind w:left="360" w:hanging="260"/>
      </w:pPr>
    </w:lvl>
  </w:abstractNum>
  <w:abstractNum w:abstractNumId="9"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2026-08-09T19:08:25.275Z</dcterms:created>
  <dcterms:modified xsi:type="dcterms:W3CDTF">2026-08-09T19:08:25.294Z</dcterms:modified>
</cp:coreProperties>
</file>

<file path=docProps/custom.xml><?xml version="1.0" encoding="utf-8"?>
<Properties xmlns="http://schemas.openxmlformats.org/officeDocument/2006/custom-properties" xmlns:vt="http://schemas.openxmlformats.org/officeDocument/2006/docPropsVTypes"/>
</file>