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cantSplit/>
                <w:trHeight w:val="1752"/>
              </w:trPr>
              <w:tc>
                <w:tcPr>
                  <w:tcW w:w="10485" w:type="dxa"/>
                </w:tcPr>
                <w:p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177-рчс-19-0056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rPr>
          <w:cantSplit/>
          <w:trHeight w:val="245"/>
        </w:trPr>
        <w:tc>
          <w:tcPr>
            <w:tcW w:w="504" w:type="dxa"/>
          </w:tcPr>
          <w:p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02.04.2019</w:t>
            </w:r>
            <w:r>
              <w:rPr>
                <w:sz w:val="26"/>
                <w:szCs w:val="26"/>
                <w:lang w:val="en-US"/>
              </w:rPr>
              <w:fldChar w:fldCharType="begin"/>
            </w:r>
            <w:r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>
              <w:rPr>
                <w:sz w:val="26"/>
                <w:szCs w:val="26"/>
              </w:rPr>
              <w:instrText>\@</w:instrText>
            </w:r>
            <w:r>
              <w:rPr>
                <w:sz w:val="26"/>
                <w:szCs w:val="26"/>
                <w:lang w:val="en-US"/>
              </w:rPr>
              <w:instrText>dd</w:instrText>
            </w:r>
            <w:r>
              <w:rPr>
                <w:sz w:val="26"/>
                <w:szCs w:val="26"/>
              </w:rPr>
              <w:instrText>.</w:instrText>
            </w:r>
            <w:r>
              <w:rPr>
                <w:sz w:val="26"/>
                <w:szCs w:val="26"/>
                <w:lang w:val="en-US"/>
              </w:rPr>
              <w:instrText>MM</w:instrText>
            </w:r>
            <w:r>
              <w:rPr>
                <w:sz w:val="26"/>
                <w:szCs w:val="26"/>
              </w:rPr>
              <w:instrText>.</w:instrText>
            </w:r>
            <w:r>
              <w:rPr>
                <w:sz w:val="26"/>
                <w:szCs w:val="26"/>
                <w:lang w:val="en-US"/>
              </w:rPr>
              <w:instrText xml:space="preserve">yyyy </w:instrText>
            </w:r>
            <w:r>
              <w:rPr>
                <w:sz w:val="26"/>
                <w:szCs w:val="26"/>
                <w:lang w:val="en-US"/>
              </w:rPr>
              <w:fldChar w:fldCharType="separate"/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>
              <w:rPr>
                <w:sz w:val="26"/>
                <w:szCs w:val="26"/>
                <w:lang w:val="en-US"/>
              </w:rPr>
              <w:fldChar w:fldCharType="begin"/>
            </w:r>
            <w:r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>
              <w:rPr>
                <w:sz w:val="26"/>
                <w:szCs w:val="26"/>
                <w:lang w:val="en-US"/>
              </w:rPr>
              <w:fldChar w:fldCharType="separate"/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>
        <w:trPr>
          <w:cantSplit/>
          <w:trHeight w:val="468"/>
        </w:trPr>
        <w:tc>
          <w:tcPr>
            <w:tcW w:w="504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>
            <w:pPr>
              <w:pStyle w:val="10"/>
            </w:pPr>
            <w:r>
              <w:t>(дата окончания действия)</w:t>
            </w:r>
          </w:p>
        </w:tc>
      </w:tr>
    </w:tbl>
    <w:p w14:paraId="e72a5ce" w14:textId="e72a5ce">
      <w:pPr>
        <w:pStyle w:val="VD"/>
        <w:ind w:left="-284" w:right="-851" w:firstLine="993"/>
        <w15:collapsed w:val="false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</w:t>
      </w:r>
      <w:proofErr w:type="gramStart"/>
      <w:r>
        <w:t>дств гр</w:t>
      </w:r>
      <w:proofErr w:type="gramEnd"/>
      <w:r>
        <w:t>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>
        <w:tc>
          <w:tcPr>
            <w:tcW w:w="5529" w:type="dxa"/>
          </w:tcPr>
          <w:p>
            <w:pPr>
              <w:pStyle w:val="VD"/>
              <w:ind w:right="5" w:firstLine="709"/>
            </w:pPr>
          </w:p>
        </w:tc>
        <w:tc>
          <w:tcPr>
            <w:tcW w:w="4678" w:type="dxa"/>
          </w:tcPr>
          <w:p>
            <w:pPr>
              <w:pStyle w:val="VD"/>
              <w:tabs>
                <w:tab w:val="left" w:pos="4984"/>
              </w:tabs>
              <w:ind w:right="6"/>
            </w:pPr>
          </w:p>
        </w:tc>
      </w:tr>
      <w:tr>
        <w:tc>
          <w:tcPr>
            <w:tcW w:w="5529" w:type="dxa"/>
          </w:tcPr>
          <w:p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Ямало-Ненецкий автономный округ</w:t>
            </w:r>
            <w:r>
              <w:rPr>
                <w:u w:val="single"/>
              </w:rPr>
              <w:tab/>
            </w:r>
          </w:p>
        </w:tc>
      </w:tr>
    </w:tbl>
    <w:p>
      <w:pPr>
        <w:pStyle w:val="VD"/>
        <w:ind w:left="-284" w:right="-851" w:firstLine="708"/>
        <w:rPr>
          <w:sz w:val="20"/>
          <w:szCs w:val="20"/>
        </w:rPr>
      </w:pPr>
    </w:p>
    <w:p>
      <w:pPr>
        <w:pStyle w:val="VD"/>
        <w:ind w:left="-284" w:right="-851"/>
      </w:pPr>
      <w:r>
        <w:t xml:space="preserve">Основание: заявление от 25.01.2019 № 35/22-0208-01, решения ГКРЧ от 11.09.2018 </w:t>
      </w:r>
      <w:r>
        <w:br/>
        <w:t xml:space="preserve">№ 18-46-03-1/20, от 28.04.2009 до 01.04.2029 № 09-03-01-3, разрешение на использование радиочастот или радиочастотных каналов от 21.03.2017 № 114-рчс-17-0038 и приказ </w:t>
      </w:r>
      <w:proofErr w:type="spellStart"/>
      <w:r>
        <w:t>Роскомнадзора</w:t>
      </w:r>
      <w:proofErr w:type="spellEnd"/>
      <w:r>
        <w:t xml:space="preserve"> </w:t>
      </w:r>
      <w:proofErr w:type="gramStart"/>
      <w:r>
        <w:t>от</w:t>
      </w:r>
      <w:proofErr w:type="gramEnd"/>
      <w:r>
        <w:t xml:space="preserve"> </w:t>
      </w:r>
      <w:r>
        <w:t>25.03.2019</w:t>
      </w:r>
      <w:r>
        <w:t xml:space="preserve"> № </w:t>
      </w:r>
      <w:r>
        <w:t>177-рчс</w:t>
      </w:r>
      <w:r>
        <w:t>.</w:t>
      </w:r>
    </w:p>
    <w:p>
      <w:pPr>
        <w:pStyle w:val="VD"/>
        <w:ind w:left="-284" w:right="-851"/>
        <w:rPr>
          <w:sz w:val="16"/>
          <w:szCs w:val="16"/>
        </w:rPr>
      </w:pPr>
    </w:p>
    <w:p>
      <w:pPr>
        <w:pStyle w:val="VD"/>
        <w:ind w:left="-284" w:right="-851"/>
      </w:pPr>
      <w:r>
        <w:t>Приложение: условия использования радиочастот или радиочастотных каналов.</w:t>
      </w:r>
    </w:p>
    <w:p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>
        <w:trPr>
          <w:cantSplit/>
          <w:trHeight w:val="1758"/>
        </w:trPr>
        <w:tc>
          <w:tcPr>
            <w:tcW w:w="3268" w:type="dxa"/>
            <w:vAlign w:val="center"/>
            <w:hideMark/>
          </w:tcPr>
          <w:p>
            <w:pPr>
              <w:pStyle w:val="VD"/>
              <w:suppressAutoHyphens w:val="false"/>
              <w:spacing w:line="276" w:lineRule="auto"/>
              <w:ind w:right="5"/>
              <w:jc w:val="left"/>
            </w:pPr>
            <w:r>
              <w:t>Заместитель начальника Управления </w:t>
              <w:br/>
            </w:r>
            <w: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t>Н.И. Орлов</w:t>
            </w:r>
          </w:p>
        </w:tc>
      </w:tr>
    </w:tbl>
    <w:p>
      <w:pPr>
        <w:pStyle w:val="a7"/>
        <w:tabs>
          <w:tab w:val="left" w:pos="1200"/>
        </w:tabs>
        <w:spacing w:line="221" w:lineRule="auto"/>
        <w:ind w:left="-284" w:right="5"/>
      </w:pPr>
    </w:p>
    <w:p>
      <w:pPr>
        <w:suppressAutoHyphens/>
        <w:sectPr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>
      <w:pPr>
        <w:suppressAutoHyphens/>
        <w:sectPr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>
      <w:pPr>
        <w:suppressAutoHyphens/>
        <w:ind w:left="5880"/>
        <w:jc w:val="center"/>
      </w:pPr>
      <w:r>
        <w:lastRenderedPageBreak/>
        <w:t>Приложение</w:t>
      </w:r>
    </w:p>
    <w:p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от 02.04.2019 № </w:t>
      </w:r>
      <w:r>
        <w:t>177-рчс-19-0056</w:t>
      </w:r>
    </w:p>
    <w:p>
      <w:pPr>
        <w:ind w:firstLine="284"/>
        <w:jc w:val="center"/>
        <w:rPr>
          <w:sz w:val="16"/>
          <w:szCs w:val="16"/>
        </w:rPr>
      </w:pPr>
    </w:p>
    <w:p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>
      <w:pPr>
        <w:ind w:hanging="720"/>
        <w:jc w:val="both"/>
        <w:rPr>
          <w:sz w:val="16"/>
          <w:szCs w:val="16"/>
        </w:rPr>
      </w:pPr>
    </w:p>
    <w:p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 Началом использования РЭС является дата регистрации РЭС в территориальном органе </w:t>
      </w:r>
      <w:proofErr w:type="spellStart"/>
      <w:r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>
      <w:pPr>
        <w:pStyle w:val="a7"/>
        <w:tabs>
          <w:tab w:val="left" w:pos="1200"/>
        </w:tabs>
        <w:spacing w:line="221" w:lineRule="auto"/>
        <w:ind w:right="5" w:firstLine="709"/>
      </w:pPr>
      <w:proofErr w:type="gramStart"/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  <w:proofErr w:type="gramEnd"/>
    </w:p>
    <w:p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допускается.</w:t>
      </w:r>
    </w:p>
    <w:p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 xml:space="preserve">Пользователь </w:t>
      </w:r>
      <w:proofErr w:type="gramStart"/>
      <w:r>
        <w:t>обязан</w:t>
      </w:r>
      <w:proofErr w:type="gramEnd"/>
      <w:r>
        <w:t xml:space="preserve"> вносить плату за использование радиочастотного спектра.</w:t>
      </w:r>
    </w:p>
    <w:p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2. Условия использования радиочастот или радиочастотных каналов конкретного</w:t>
      </w:r>
    </w:p>
    <w:p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РЭС</w:t>
      </w:r>
    </w:p>
    <w:p>
      <w:pPr>
        <w:jc w:val="both"/>
      </w:pPr>
    </w:p>
    <w:p>
      <w:pPr>
        <w:jc w:val="both"/>
      </w:pPr>
      <w:r>
        <w:tab/>
        <w:t>Использование радиочастот или радиочастотных каналов разрешается без предъявления претензий на помехи от РЭС Минобороны России.</w:t>
      </w:r>
    </w:p>
    <w:p>
      <w:pPr>
        <w:jc w:val="both"/>
      </w:pPr>
    </w:p>
    <w:p>
      <w:pPr>
        <w:ind w:left="709"/>
        <w:jc w:val="center"/>
        <w:rPr>
          <w:b/>
          <w:bCs/>
        </w:rPr>
      </w:pPr>
      <w:r>
        <w:rPr>
          <w:b/>
          <w:bCs/>
        </w:rPr>
        <w:t>3. Частотно-территориальный план РЭС (сети)</w:t>
      </w:r>
    </w:p>
    <w:p>
      <w:pPr>
        <w:ind w:right="284"/>
        <w:jc w:val="both"/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3261"/>
        <w:gridCol w:w="1842"/>
        <w:gridCol w:w="5103"/>
      </w:tblGrid>
      <w:tr>
        <w:tc>
          <w:tcPr>
            <w:tcW w:w="1020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>
        <w:trPr>
          <w:cantSplit/>
        </w:trPr>
        <w:tc>
          <w:tcPr>
            <w:tcW w:w="3261" w:type="dxa"/>
            <w:tcBorders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>
            <w:pPr>
              <w:jc w:val="center"/>
            </w:pPr>
            <w:r>
              <w:t xml:space="preserve"> Б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сети подвижной (</w:t>
            </w:r>
            <w:proofErr w:type="spellStart"/>
            <w:r>
              <w:t>транкинговой</w:t>
            </w:r>
            <w:proofErr w:type="spellEnd"/>
            <w:r>
              <w:t xml:space="preserve">) радиосвязи (18.1.2.2.) </w:t>
            </w:r>
          </w:p>
        </w:tc>
      </w:tr>
      <w:tr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Диапазон 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>
            <w:pPr>
              <w:jc w:val="center"/>
            </w:pPr>
            <w:r>
              <w:rPr>
                <w:lang w:val="en-US"/>
              </w:rPr>
              <w:t xml:space="preserve"> 336-344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>
            <w:pPr>
              <w:jc w:val="center"/>
            </w:pPr>
            <w:r>
              <w:rPr>
                <w:lang w:val="en-US"/>
              </w:rPr>
              <w:t xml:space="preserve"> 300-308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>
        <w:tc>
          <w:tcPr>
            <w:tcW w:w="3261" w:type="dxa"/>
          </w:tcPr>
          <w:p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>
            <w:pPr>
              <w:jc w:val="center"/>
            </w:pPr>
            <w:r>
              <w:t xml:space="preserve"> возимых - до 10 Вт, носимых - до 2 Вт</w:t>
            </w:r>
          </w:p>
        </w:tc>
      </w:tr>
    </w:tbl>
    <w:p>
      <w:pPr>
        <w:ind w:right="284"/>
        <w:jc w:val="both"/>
      </w:pPr>
    </w:p>
    <w:tbl>
      <w:tblPr>
        <w:tblW w:w="10205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504"/>
        <w:gridCol w:w="910"/>
        <w:gridCol w:w="2272"/>
        <w:gridCol w:w="709"/>
        <w:gridCol w:w="850"/>
        <w:gridCol w:w="851"/>
        <w:gridCol w:w="992"/>
        <w:gridCol w:w="850"/>
        <w:gridCol w:w="567"/>
        <w:gridCol w:w="851"/>
        <w:gridCol w:w="849"/>
      </w:tblGrid>
      <w:tr>
        <w:trPr>
          <w:trHeight w:val="349"/>
        </w:trPr>
        <w:tc>
          <w:tcPr>
            <w:tcW w:w="504" w:type="dxa"/>
            <w:vMerge w:val="restart"/>
          </w:tcPr>
          <w:p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910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2272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850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851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992" w:type="dxa"/>
            <w:vMerge w:val="restart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0" w:type="dxa"/>
            <w:vMerge w:val="restart"/>
            <w:hideMark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>/ ЭИИМ</w:t>
            </w:r>
          </w:p>
        </w:tc>
        <w:tc>
          <w:tcPr>
            <w:tcW w:w="567" w:type="dxa"/>
            <w:vMerge w:val="restart"/>
            <w:tcBorders>
              <w:left w:val="nil"/>
            </w:tcBorders>
            <w:hideMark/>
          </w:tcPr>
          <w:p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proofErr w:type="gramStart"/>
            <w:r>
              <w:rPr>
                <w:b/>
                <w:bCs/>
                <w:sz w:val="18"/>
                <w:szCs w:val="18"/>
              </w:rPr>
              <w:t>ка-нала</w:t>
            </w:r>
            <w:proofErr w:type="gramEnd"/>
          </w:p>
        </w:tc>
        <w:tc>
          <w:tcPr>
            <w:tcW w:w="1700" w:type="dxa"/>
            <w:gridSpan w:val="2"/>
            <w:tcBorders>
              <w:left w:val="nil"/>
            </w:tcBorders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>
        <w:trPr>
          <w:trHeight w:val="1094"/>
        </w:trPr>
        <w:tc>
          <w:tcPr>
            <w:tcW w:w="504" w:type="dxa"/>
            <w:vMerge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2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849" w:type="dxa"/>
            <w:tcBorders>
              <w:left w:val="nil"/>
            </w:tcBorders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>
        <w:trPr>
          <w:trHeight w:val="276"/>
        </w:trPr>
        <w:tc>
          <w:tcPr>
            <w:tcW w:w="504" w:type="dxa"/>
          </w:tcPr>
          <w:p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72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850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851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proofErr w:type="gramEnd"/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849" w:type="dxa"/>
            <w:hideMark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>
        <w:trPr>
          <w:cantSplit/>
          <w:trHeight w:val="1439"/>
        </w:trPr>
        <w:tc>
          <w:tcPr>
            <w:tcW w:w="504" w:type="dxa"/>
          </w:tcPr>
          <w:p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227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Ямало-Ненецкий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36,8 км юго-восточнее Новый Уренгой г, ПРС-2, 32 км МГ</w:t>
            </w:r>
            <w:r>
              <w:rPr>
                <w:iCs/>
                <w:sz w:val="22"/>
                <w:szCs w:val="22"/>
              </w:rPr>
              <w:br/>
              <w:t>65N4908</w:t>
            </w:r>
            <w:r>
              <w:rPr>
                <w:iCs/>
                <w:sz w:val="22"/>
                <w:szCs w:val="22"/>
              </w:rPr>
              <w:br/>
              <w:t>77E0846</w:t>
            </w:r>
          </w:p>
        </w:tc>
        <w:tc>
          <w:tcPr>
            <w:tcW w:w="709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32,0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4,0/2,7</w:t>
            </w: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</w:t>
            </w:r>
            <w:r>
              <w:rPr>
                <w:iCs/>
                <w:sz w:val="22"/>
                <w:szCs w:val="22"/>
              </w:rPr>
              <w:br/>
              <w:t>11,3</w:t>
            </w:r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341,75</w:t>
            </w:r>
            <w:r>
              <w:rPr>
                <w:iCs/>
                <w:sz w:val="22"/>
                <w:szCs w:val="22"/>
              </w:rPr>
              <w:br/>
              <w:t>341,375</w:t>
            </w:r>
            <w:r>
              <w:rPr>
                <w:iCs/>
                <w:sz w:val="22"/>
                <w:szCs w:val="22"/>
              </w:rPr>
              <w:br/>
              <w:t>341,575</w:t>
            </w:r>
          </w:p>
        </w:tc>
        <w:tc>
          <w:tcPr>
            <w:tcW w:w="849" w:type="dxa"/>
          </w:tcPr>
          <w:p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305,75</w:t>
            </w:r>
            <w:r>
              <w:rPr>
                <w:iCs/>
                <w:sz w:val="22"/>
                <w:szCs w:val="22"/>
              </w:rPr>
              <w:br/>
              <w:t>305,375</w:t>
            </w:r>
            <w:r>
              <w:rPr>
                <w:iCs/>
                <w:sz w:val="22"/>
                <w:szCs w:val="22"/>
              </w:rPr>
              <w:br/>
              <w:t>305,575</w:t>
            </w:r>
          </w:p>
        </w:tc>
      </w:tr>
      <w:tr>
        <w:trPr>
          <w:cantSplit/>
          <w:trHeight w:val="1439"/>
        </w:trPr>
        <w:tc>
          <w:tcPr>
            <w:tcW w:w="504" w:type="dxa"/>
          </w:tcPr>
          <w:p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2</w:t>
            </w: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БС-2</w:t>
            </w:r>
          </w:p>
        </w:tc>
        <w:tc>
          <w:tcPr>
            <w:tcW w:w="227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Ямало-Ненецкий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0,7 км западнее </w:t>
            </w:r>
            <w:proofErr w:type="spellStart"/>
            <w:r>
              <w:rPr>
                <w:iCs/>
                <w:sz w:val="22"/>
                <w:szCs w:val="22"/>
              </w:rPr>
              <w:t>Сывдарма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iCs/>
                <w:sz w:val="22"/>
                <w:szCs w:val="22"/>
              </w:rPr>
              <w:t>п</w:t>
            </w:r>
            <w:proofErr w:type="gramEnd"/>
            <w:r>
              <w:rPr>
                <w:iCs/>
                <w:sz w:val="22"/>
                <w:szCs w:val="22"/>
              </w:rPr>
              <w:t xml:space="preserve">, УРС-4, КС-01 </w:t>
            </w:r>
            <w:proofErr w:type="spellStart"/>
            <w:r>
              <w:rPr>
                <w:iCs/>
                <w:sz w:val="22"/>
                <w:szCs w:val="22"/>
              </w:rPr>
              <w:t>Ягенетская</w:t>
            </w:r>
            <w:proofErr w:type="spellEnd"/>
            <w:r>
              <w:rPr>
                <w:iCs/>
                <w:sz w:val="22"/>
                <w:szCs w:val="22"/>
              </w:rPr>
              <w:br/>
              <w:t>65N1621</w:t>
            </w:r>
            <w:r>
              <w:rPr>
                <w:iCs/>
                <w:sz w:val="22"/>
                <w:szCs w:val="22"/>
              </w:rPr>
              <w:br/>
              <w:t>77E4316</w:t>
            </w:r>
          </w:p>
        </w:tc>
        <w:tc>
          <w:tcPr>
            <w:tcW w:w="709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63,0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4,0/6,0</w:t>
            </w: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</w:t>
            </w:r>
            <w:r>
              <w:rPr>
                <w:iCs/>
                <w:sz w:val="22"/>
                <w:szCs w:val="22"/>
              </w:rPr>
              <w:br/>
              <w:t>8,0</w:t>
            </w:r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340,95</w:t>
            </w:r>
            <w:r>
              <w:rPr>
                <w:iCs/>
                <w:sz w:val="22"/>
                <w:szCs w:val="22"/>
              </w:rPr>
              <w:br/>
              <w:t>341,425</w:t>
            </w:r>
            <w:r>
              <w:rPr>
                <w:iCs/>
                <w:sz w:val="22"/>
                <w:szCs w:val="22"/>
              </w:rPr>
              <w:br/>
              <w:t>341,2</w:t>
            </w:r>
            <w:r>
              <w:rPr>
                <w:iCs/>
                <w:sz w:val="22"/>
                <w:szCs w:val="22"/>
              </w:rPr>
              <w:br/>
              <w:t>341,625</w:t>
            </w:r>
          </w:p>
        </w:tc>
        <w:tc>
          <w:tcPr>
            <w:tcW w:w="849" w:type="dxa"/>
          </w:tcPr>
          <w:p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304,95</w:t>
            </w:r>
            <w:r>
              <w:rPr>
                <w:iCs/>
                <w:sz w:val="22"/>
                <w:szCs w:val="22"/>
              </w:rPr>
              <w:br/>
              <w:t>305,425</w:t>
            </w:r>
            <w:r>
              <w:rPr>
                <w:iCs/>
                <w:sz w:val="22"/>
                <w:szCs w:val="22"/>
              </w:rPr>
              <w:br/>
              <w:t>305,2</w:t>
            </w:r>
            <w:r>
              <w:rPr>
                <w:iCs/>
                <w:sz w:val="22"/>
                <w:szCs w:val="22"/>
              </w:rPr>
              <w:br/>
              <w:t>305,625</w:t>
            </w:r>
          </w:p>
        </w:tc>
      </w:tr>
      <w:tr>
        <w:trPr>
          <w:cantSplit/>
          <w:trHeight w:val="1439"/>
        </w:trPr>
        <w:tc>
          <w:tcPr>
            <w:tcW w:w="504" w:type="dxa"/>
          </w:tcPr>
          <w:p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3</w:t>
            </w: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БС-3</w:t>
            </w:r>
          </w:p>
        </w:tc>
        <w:tc>
          <w:tcPr>
            <w:tcW w:w="227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Ямало-Ненецкий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15,7 км северо-восточнее </w:t>
            </w:r>
            <w:proofErr w:type="spellStart"/>
            <w:r>
              <w:rPr>
                <w:iCs/>
                <w:sz w:val="22"/>
                <w:szCs w:val="22"/>
              </w:rPr>
              <w:t>Пурпе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iCs/>
                <w:sz w:val="22"/>
                <w:szCs w:val="22"/>
              </w:rPr>
              <w:t>п</w:t>
            </w:r>
            <w:proofErr w:type="gramEnd"/>
            <w:r>
              <w:rPr>
                <w:iCs/>
                <w:sz w:val="22"/>
                <w:szCs w:val="22"/>
              </w:rPr>
              <w:t xml:space="preserve">, УРС-7 КС-02 </w:t>
            </w:r>
            <w:proofErr w:type="spellStart"/>
            <w:r>
              <w:rPr>
                <w:iCs/>
                <w:sz w:val="22"/>
                <w:szCs w:val="22"/>
              </w:rPr>
              <w:t>Пурпейская</w:t>
            </w:r>
            <w:proofErr w:type="spellEnd"/>
            <w:r>
              <w:rPr>
                <w:iCs/>
                <w:sz w:val="22"/>
                <w:szCs w:val="22"/>
              </w:rPr>
              <w:br/>
              <w:t>64N3402</w:t>
            </w:r>
            <w:r>
              <w:rPr>
                <w:iCs/>
                <w:sz w:val="22"/>
                <w:szCs w:val="22"/>
              </w:rPr>
              <w:br/>
              <w:t>76E5849</w:t>
            </w:r>
          </w:p>
        </w:tc>
        <w:tc>
          <w:tcPr>
            <w:tcW w:w="709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63,0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4,0/6,1</w:t>
            </w: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</w:t>
            </w:r>
            <w:r>
              <w:rPr>
                <w:iCs/>
                <w:sz w:val="22"/>
                <w:szCs w:val="22"/>
              </w:rPr>
              <w:br/>
              <w:t>7,9</w:t>
            </w:r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341,725</w:t>
            </w:r>
            <w:r>
              <w:rPr>
                <w:iCs/>
                <w:sz w:val="22"/>
                <w:szCs w:val="22"/>
              </w:rPr>
              <w:br/>
              <w:t>341,55</w:t>
            </w:r>
            <w:r>
              <w:rPr>
                <w:iCs/>
                <w:sz w:val="22"/>
                <w:szCs w:val="22"/>
              </w:rPr>
              <w:br/>
              <w:t>341,35</w:t>
            </w:r>
            <w:r>
              <w:rPr>
                <w:iCs/>
                <w:sz w:val="22"/>
                <w:szCs w:val="22"/>
              </w:rPr>
              <w:br/>
              <w:t>341,125</w:t>
            </w:r>
          </w:p>
        </w:tc>
        <w:tc>
          <w:tcPr>
            <w:tcW w:w="849" w:type="dxa"/>
          </w:tcPr>
          <w:p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305,725</w:t>
            </w:r>
            <w:r>
              <w:rPr>
                <w:iCs/>
                <w:sz w:val="22"/>
                <w:szCs w:val="22"/>
              </w:rPr>
              <w:br/>
              <w:t>305,55</w:t>
            </w:r>
            <w:r>
              <w:rPr>
                <w:iCs/>
                <w:sz w:val="22"/>
                <w:szCs w:val="22"/>
              </w:rPr>
              <w:br/>
              <w:t>305,35</w:t>
            </w:r>
            <w:r>
              <w:rPr>
                <w:iCs/>
                <w:sz w:val="22"/>
                <w:szCs w:val="22"/>
              </w:rPr>
              <w:br/>
              <w:t>305,125</w:t>
            </w:r>
          </w:p>
        </w:tc>
      </w:tr>
      <w:tr>
        <w:trPr>
          <w:cantSplit/>
          <w:trHeight w:val="1439"/>
        </w:trPr>
        <w:tc>
          <w:tcPr>
            <w:tcW w:w="504" w:type="dxa"/>
          </w:tcPr>
          <w:p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4</w:t>
            </w: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proofErr w:type="gramStart"/>
            <w:r>
              <w:rPr>
                <w:bCs/>
                <w:iCs/>
                <w:sz w:val="22"/>
                <w:szCs w:val="22"/>
              </w:rPr>
              <w:t>АС-стационарные</w:t>
            </w:r>
            <w:proofErr w:type="gramEnd"/>
          </w:p>
        </w:tc>
        <w:tc>
          <w:tcPr>
            <w:tcW w:w="227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proofErr w:type="gramStart"/>
            <w:r>
              <w:rPr>
                <w:iCs/>
                <w:sz w:val="22"/>
                <w:szCs w:val="22"/>
              </w:rPr>
              <w:t>Ямало-Ненецкий</w:t>
            </w:r>
            <w:proofErr w:type="gramEnd"/>
            <w:r>
              <w:rPr>
                <w:iCs/>
                <w:sz w:val="22"/>
                <w:szCs w:val="22"/>
              </w:rPr>
              <w:t xml:space="preserve"> АО, 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в зоне обслуживания БС-3 радиусом 20 км</w:t>
            </w:r>
          </w:p>
        </w:tc>
        <w:tc>
          <w:tcPr>
            <w:tcW w:w="709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33,5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4,0/3,0</w:t>
            </w: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</w:t>
            </w:r>
            <w:r>
              <w:rPr>
                <w:iCs/>
                <w:sz w:val="22"/>
                <w:szCs w:val="22"/>
              </w:rPr>
              <w:br/>
              <w:t>11,0</w:t>
            </w:r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305,125</w:t>
            </w:r>
            <w:r>
              <w:rPr>
                <w:iCs/>
                <w:sz w:val="22"/>
                <w:szCs w:val="22"/>
              </w:rPr>
              <w:br/>
              <w:t>305,55</w:t>
            </w:r>
            <w:r>
              <w:rPr>
                <w:iCs/>
                <w:sz w:val="22"/>
                <w:szCs w:val="22"/>
              </w:rPr>
              <w:br/>
              <w:t>305,35</w:t>
            </w:r>
            <w:r>
              <w:rPr>
                <w:iCs/>
                <w:sz w:val="22"/>
                <w:szCs w:val="22"/>
              </w:rPr>
              <w:br/>
              <w:t>305,725</w:t>
            </w:r>
          </w:p>
        </w:tc>
        <w:tc>
          <w:tcPr>
            <w:tcW w:w="849" w:type="dxa"/>
          </w:tcPr>
          <w:p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341,125</w:t>
            </w:r>
            <w:r>
              <w:rPr>
                <w:iCs/>
                <w:sz w:val="22"/>
                <w:szCs w:val="22"/>
              </w:rPr>
              <w:br/>
              <w:t>341,55</w:t>
            </w:r>
            <w:r>
              <w:rPr>
                <w:iCs/>
                <w:sz w:val="22"/>
                <w:szCs w:val="22"/>
              </w:rPr>
              <w:br/>
              <w:t>341,35</w:t>
            </w:r>
            <w:r>
              <w:rPr>
                <w:iCs/>
                <w:sz w:val="22"/>
                <w:szCs w:val="22"/>
              </w:rPr>
              <w:br/>
              <w:t>341,725</w:t>
            </w:r>
          </w:p>
        </w:tc>
      </w:tr>
      <w:tr>
        <w:trPr>
          <w:cantSplit/>
          <w:trHeight w:val="1439"/>
        </w:trPr>
        <w:tc>
          <w:tcPr>
            <w:tcW w:w="504" w:type="dxa"/>
          </w:tcPr>
          <w:p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lastRenderedPageBreak/>
              <w:t>5</w:t>
            </w:r>
          </w:p>
        </w:tc>
        <w:tc>
          <w:tcPr>
            <w:tcW w:w="91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БС-4</w:t>
            </w:r>
          </w:p>
        </w:tc>
        <w:tc>
          <w:tcPr>
            <w:tcW w:w="227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Ямало-Ненецкий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</w:p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58 км юго-восточнее Ноябрьск г, </w:t>
            </w:r>
            <w:proofErr w:type="spellStart"/>
            <w:r>
              <w:rPr>
                <w:iCs/>
                <w:sz w:val="22"/>
                <w:szCs w:val="22"/>
              </w:rPr>
              <w:t>Вынгапуровский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газовый промысел</w:t>
            </w:r>
            <w:r>
              <w:rPr>
                <w:iCs/>
                <w:sz w:val="22"/>
                <w:szCs w:val="22"/>
              </w:rPr>
              <w:br/>
              <w:t>63N0626</w:t>
            </w:r>
            <w:r>
              <w:rPr>
                <w:iCs/>
                <w:sz w:val="22"/>
                <w:szCs w:val="22"/>
              </w:rPr>
              <w:br/>
              <w:t>76E3925</w:t>
            </w:r>
          </w:p>
        </w:tc>
        <w:tc>
          <w:tcPr>
            <w:tcW w:w="709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46,0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4,0/3,0</w:t>
            </w: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0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10,0/</w:t>
            </w:r>
            <w:r>
              <w:rPr>
                <w:iCs/>
                <w:sz w:val="22"/>
                <w:szCs w:val="22"/>
              </w:rPr>
              <w:br/>
              <w:t>11,0</w:t>
            </w:r>
          </w:p>
        </w:tc>
        <w:tc>
          <w:tcPr>
            <w:tcW w:w="567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341,6</w:t>
            </w:r>
            <w:r>
              <w:rPr>
                <w:iCs/>
                <w:sz w:val="22"/>
                <w:szCs w:val="22"/>
              </w:rPr>
              <w:br/>
              <w:t>341,775</w:t>
            </w:r>
            <w:r>
              <w:rPr>
                <w:iCs/>
                <w:sz w:val="22"/>
                <w:szCs w:val="22"/>
              </w:rPr>
              <w:br/>
              <w:t>341,4</w:t>
            </w:r>
          </w:p>
        </w:tc>
        <w:tc>
          <w:tcPr>
            <w:tcW w:w="849" w:type="dxa"/>
          </w:tcPr>
          <w:p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305,6</w:t>
            </w:r>
            <w:r>
              <w:rPr>
                <w:iCs/>
                <w:sz w:val="22"/>
                <w:szCs w:val="22"/>
              </w:rPr>
              <w:br/>
              <w:t>305,775</w:t>
            </w:r>
            <w:r>
              <w:rPr>
                <w:iCs/>
                <w:sz w:val="22"/>
                <w:szCs w:val="22"/>
              </w:rPr>
              <w:br/>
              <w:t>305,4</w:t>
            </w:r>
          </w:p>
        </w:tc>
      </w:tr>
    </w:tbl>
    <w:p>
      <w:pPr>
        <w:rPr>
          <w:sz w:val="28"/>
          <w:szCs w:val="28"/>
        </w:rPr>
      </w:pPr>
    </w:p>
    <w:p>
      <w:pPr>
        <w:jc w:val="both"/>
      </w:pPr>
      <w:r>
        <w:tab/>
        <w:t xml:space="preserve">- работа абонентских возимых станций с мощностью излучения до 10 Вт и коэффициентом усиления антенн 0 дБ разрешается в пределах зон обслуживания соответствующих базовых станций на удалении не более чем 15 км от БС-1, 30 км от БС-2, 20 км от БС-3, БС-4; </w:t>
      </w:r>
    </w:p>
    <w:p>
      <w:pPr>
        <w:ind w:firstLine="709"/>
        <w:jc w:val="both"/>
      </w:pPr>
      <w:bookmarkStart w:name="_GoBack" w:id="0"/>
      <w:bookmarkEnd w:id="0"/>
      <w:r>
        <w:t>- работа абонентских носимых станций с мощностью излучения до 2 Вт и коэффициентом усиления антенн 0 дБ разрешается в пределах зон обслуживания соответствующих базовых станций на удалении не более чем 15 км от БС-1, 30 км от БС-2, 20 км от БС-3, БС-4.</w:t>
      </w: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Content>
        <w:p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RES</properties:Company>
  <properties:Pages>4</properties:Pages>
  <properties:Words>1170</properties:Words>
  <properties:Characters>6675</properties:Characters>
  <properties:Lines>55</properties:Lines>
  <properties:Paragraphs>15</properties:Paragraphs>
  <properties:TotalTime>32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7830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2019-03-18T08:37:00Z</dcterms:modified>
  <cp:revision>22</cp:revision>
  <dc:title>РАЗРЕШЕНИЕ</dc:title>
</cp:coreProperties>
</file>