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d62377f" w14:paraId="d62377f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89 19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003063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«22» апреля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«22»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БC сети технологического назначения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Icom IC-VR8050, 01583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Ямало-Ненецкий АО, Пуровский р-н, 28 км южнее Губкинский г, 25 км ГВТ, ПРС 9/1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RAL8257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№156-рчс-19-0245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