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BM Plex Sans" w:hAnsi="IBM Plex Sans" w:cs="IBM Plex Sans"/>
          <w:b/>
          <w:color w:val="961A13"/>
          <w:sz w:val="36"/>
        </w:rPr>
        <w:t>SOC122</w:t>
      </w:r>
    </w:p>
    <w:p>
      <w:r>
        <w:rPr>
          <w:rFonts w:ascii="IBM Plex Sans" w:hAnsi="IBM Plex Sans" w:cs="IBM Plex Sans"/>
          <w:b/>
          <w:sz w:val="30"/>
        </w:rPr>
        <w:t>How to use the course website</w:t>
      </w:r>
    </w:p>
    <w:p>
      <w:hyperlink r:id="rId11">
        <w:r>
          <w:rPr>
            <w:rStyle w:val="Hyperlink"/>
          </w:rPr>
          <w:t>Open your course website</w:t>
        </w:r>
      </w:hyperlink>
    </w:p>
    <w:p>
      <w:r>
        <w:rPr>
          <w:rFonts w:ascii="IBM Plex Sans" w:hAnsi="IBM Plex Sans" w:cs="IBM Plex Sans"/>
          <w:b w:val="0"/>
          <w:sz w:val="22"/>
        </w:rPr>
        <w:t>Updated September 12, 2026. Keep this guide for navigation and learning tools.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BEDEC"/>
          </w:tcPr>
          <w:p>
            <w:r>
              <w:t>1. Open your week</w:t>
            </w:r>
          </w:p>
        </w:tc>
        <w:tc>
          <w:tcPr>
            <w:tcW w:type="dxa" w:w="3360"/>
            <w:shd w:fill="FBEDEC"/>
          </w:tcPr>
          <w:p>
            <w:r>
              <w:t>2. Read and explore</w:t>
            </w:r>
          </w:p>
        </w:tc>
        <w:tc>
          <w:tcPr>
            <w:tcW w:type="dxa" w:w="3360"/>
            <w:shd w:fill="FBEDEC"/>
          </w:tcPr>
          <w:p>
            <w:r>
              <w:t>3. Practise and save</w:t>
            </w:r>
          </w:p>
        </w:tc>
      </w:tr>
    </w:tbl>
    <w:p>
      <w:pPr>
        <w:pStyle w:val="Heading1"/>
      </w:pPr>
      <w:r>
        <w:t>Start with your week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Home: </w:t>
      </w:r>
      <w:r>
        <w:t>Open Home to see the weekly learning path. Choose the week you are studying.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Weekly Experiences: </w:t>
      </w:r>
      <w:r>
        <w:t>Open the weekly experience or week page. Begin with its purpose and learning outcomes, then follow its readings, media and learning activities.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Course Calendar: </w:t>
      </w:r>
      <w:r>
        <w:t>Check the class schedule and delivery mode. Assignment instructions and deadlines are provided in Blackboard.</w:t>
      </w:r>
    </w:p>
    <w:p>
      <w:pPr>
        <w:pStyle w:val="Heading1"/>
      </w:pPr>
      <w:r>
        <w:t>Read, watch and connect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Readings and Media: </w:t>
      </w:r>
      <w:r>
        <w:t>Browse the course sources and use the available search and filters. Open a source record for its description and access route.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Compare Sources: </w:t>
      </w:r>
      <w:r>
        <w:t>Select readings to compare their ideas. Use the comparison to notice connections and differences; return to the original sources for evidence.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Videos and Podcasts: </w:t>
      </w:r>
      <w:r>
        <w:t>Choose a media item and use captions or a transcript when available. Some sources open on another website.</w:t>
      </w:r>
    </w:p>
    <w:p>
      <w:pPr>
        <w:pStyle w:val="Heading1"/>
      </w:pPr>
      <w:r>
        <w:t>Practise the course concepts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Glossary: </w:t>
      </w:r>
      <w:r>
        <w:t>Look up a term when you need a clear definition or want to revisit an earlier concept.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Concept Flashcards: </w:t>
      </w:r>
      <w:r>
        <w:t>Use the flashcards to practise recalling concepts. Return to the readings when an idea needs more explanation.</w:t>
      </w:r>
    </w:p>
    <w:p>
      <w:pPr>
        <w:spacing w:after="120"/>
      </w:pPr>
      <w:r>
        <w:rPr>
          <w:b/>
        </w:rPr>
        <w:t xml:space="preserve">Weekly learning tools: </w:t>
      </w:r>
      <w:r>
        <w:t>Use the starting check to identify ideas you want to revisit; it records your self-rating, not a grade. After a knowledge check, read the explanation for each answer and follow the suggested next step. These tools do not submit work to Blackboard.</w:t>
      </w:r>
    </w:p>
    <w:p>
      <w:r/>
    </w:p>
    <w:p>
      <w:pPr>
        <w:pStyle w:val="Heading1"/>
      </w:pPr>
      <w:r>
        <w:t>Keep your notes</w:t>
      </w:r>
    </w:p>
    <w:p>
      <w:pPr>
        <w:spacing w:after="120"/>
      </w:pPr>
      <w:r>
        <w:rPr>
          <w:b/>
        </w:rPr>
        <w:t xml:space="preserve">Find your work: </w:t>
      </w:r>
      <w:r>
        <w:t>Open My notes in the menu. Choose a week to continue writing. Your saved entries are grouped by activity and week; use the search box to find an idea.</w:t>
      </w:r>
    </w:p>
    <w:p>
      <w:pPr>
        <w:spacing w:after="120"/>
      </w:pPr>
      <w:r>
        <w:rPr>
          <w:b/>
        </w:rPr>
        <w:t xml:space="preserve">Check the save message: </w:t>
      </w:r>
      <w:r>
        <w:t>Notes save automatically in this browser on this device. Wait for Saved in this browser. If the message says Not saved, keep the page open and download a copy before leaving.</w:t>
      </w:r>
    </w:p>
    <w:p>
      <w:pPr>
        <w:spacing w:after="120"/>
      </w:pPr>
      <w:r>
        <w:rPr>
          <w:b/>
        </w:rPr>
        <w:t xml:space="preserve">Keep an organized copy: </w:t>
      </w:r>
      <w:r>
        <w:t>In My notes, choose Download all organized notes (.docx). The Word file keeps your wording and groups your notes with their week or activity.</w:t>
      </w:r>
    </w:p>
    <w:p>
      <w:pPr>
        <w:spacing w:after="120"/>
      </w:pPr>
      <w:r>
        <w:rPr>
          <w:b/>
        </w:rPr>
        <w:t xml:space="preserve">Move to another device: </w:t>
      </w:r>
      <w:r>
        <w:t>Choose Download backup for another device (.json). On the other device, open this same course, go to My notes and choose Restore from a backup file. Notes do not sync automatically between devices.</w:t>
      </w:r>
    </w:p>
    <w:p>
      <w:pPr>
        <w:spacing w:after="120"/>
      </w:pPr>
      <w:r>
        <w:rPr>
          <w:b/>
        </w:rPr>
        <w:t xml:space="preserve">Recover another version: </w:t>
      </w:r>
      <w:r>
        <w:t>If two tabs edit the same note, look under Other saved versions for the alternate wording. Check that text before replacing your current note.</w:t>
      </w:r>
    </w:p>
    <w:p>
      <w:pPr>
        <w:spacing w:after="120"/>
      </w:pPr>
      <w:r>
        <w:rPr>
          <w:b/>
        </w:rPr>
        <w:t xml:space="preserve">Shared devices: </w:t>
      </w:r>
      <w:r>
        <w:t>Download your work before using Clear My Work or clearing browser data. Avoid relying on private browsing to keep notes after the session ends.</w:t>
      </w:r>
    </w:p>
    <w:p>
      <w:pPr>
        <w:pStyle w:val="Heading1"/>
      </w:pPr>
      <w:r>
        <w:t>If you get stuck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Navigation: </w:t>
      </w:r>
      <w:r>
        <w:t>Use the site menu to move between the weekly pages and learning tools. On a small screen, open the menu if it is collapsed.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Reading access: </w:t>
      </w:r>
      <w:r>
        <w:t>Follow the access instructions shown with each source. Some readings require Blackboard or the Seneca Library.</w:t>
      </w:r>
    </w:p>
    <w:p>
      <w:pPr>
        <w:spacing w:after="120"/>
      </w:pPr>
      <w:r>
        <w:rPr>
          <w:rFonts w:ascii="IBM Plex Sans" w:hAnsi="IBM Plex Sans" w:cs="IBM Plex Sans"/>
          <w:b w:val="0"/>
          <w:sz w:val="22"/>
        </w:rPr>
      </w:r>
      <w:r>
        <w:rPr>
          <w:b/>
        </w:rPr>
        <w:t xml:space="preserve">Broken link or missing media: </w:t>
      </w:r>
      <w:r>
        <w:t>Use Report a problem to prepare a message, or contact the instructor through Blackboard. Include the course, week and page that needs attention.</w:t>
      </w:r>
    </w:p>
    <w:p>
      <w:pPr>
        <w:pStyle w:val="Heading1"/>
      </w:pPr>
      <w:r>
        <w:t>Assignments stay in Blackboard</w:t>
      </w:r>
    </w:p>
    <w:p>
      <w:r>
        <w:rPr>
          <w:rFonts w:ascii="IBM Plex Sans" w:hAnsi="IBM Plex Sans" w:cs="IBM Plex Sans"/>
          <w:b w:val="0"/>
          <w:sz w:val="22"/>
        </w:rPr>
        <w:t>Open Blackboard for every assignment, its instructions, grading criteria and submission area. This guide and the public website do not provide assignment downloads.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BM Plex Sans" w:hAnsi="IBM Plex Sans" w:cs="IBM Plex Sans"/>
        <w:sz w:val="18"/>
      </w:rPr>
      <w:t xml:space="preserve">Page </w:t>
    </w:r>
    <w:r>
      <w:rPr>
        <w:rFonts w:ascii="IBM Plex Sans" w:hAnsi="IBM Plex Sans" w:cs="IBM Plex Sans"/>
        <w:sz w:val="18"/>
      </w:rPr>
      <w:fldChar w:fldCharType="begin"/>
      <w:instrText xml:space="preserve">PAGE</w:instrText>
      <w:fldChar w:fldCharType="end"/>
    </w:r>
    <w:r>
      <w:rPr>
        <w:rFonts w:ascii="IBM Plex Sans" w:hAnsi="IBM Plex Sans" w:cs="IBM Plex Sans"/>
        <w:sz w:val="18"/>
      </w:rPr>
      <w:t xml:space="preserve"> of </w:t>
    </w:r>
    <w:r>
      <w:rPr>
        <w:rFonts w:ascii="IBM Plex Sans" w:hAnsi="IBM Plex Sans" w:cs="IBM Plex Sans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960120" cy="37402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neca-Polytechnic-re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60120" cy="37402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IBM Plex Sans" w:hAnsi="IBM Plex Sans"/>
      <w:b/>
      <w:bCs/>
      <w:color w:val="961A1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BM Plex Sans" w:hAnsi="IBM Plex Sans"/>
      <w:b/>
      <w:bCs/>
      <w:color w:val="961A1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rpeart73.github.io/soc122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SOC122 course website guide</dc:title>
  <dc:subject/>
  <dc:creator>Raymond Peart</dc:creator>
  <cp:keywords/>
  <dc:description/>
  <cp:lastModifiedBy>Raymond Peart</cp:lastModifiedBy>
  <cp:revision>1</cp:revision>
  <dcterms:created xsi:type="dcterms:W3CDTF">2026-09-10T15:22:28Z</dcterms:created>
  <dcterms:modified xsi:type="dcterms:W3CDTF">2026-09-10T15:22:28Z</dcterms:modified>
  <cp:category/>
</cp:coreProperties>
</file>