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ВО СЛАВУ ИНРИНРЯ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Что мы сейчас делаем: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Переводы часов приема (и это хорошо)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Обзор (ICRPG) - если прокатит, то будем продолжать.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хештеги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#диванные_эксперты - тэг для круглого стола</w:t>
        <w:br w:type="textWrapping"/>
        <w:t xml:space="preserve">#у_камина - тэг для интересных книжек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#non-random_lines - для песен плясок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Ссылки: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Канал Адама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drunkens&amp;dragons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Какие-нибудь ещё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Что мы будем делать: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Обзор (ICRPG) - если прокатит, то будем продолжать.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Книги в помощь истории (всякие там “Спасти кошку”)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Аспекты из медиа (пляски-песни) в виде цитаты с прикрепленной картинкой, музыкой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МЕМАСЫ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Репостить чего-то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Интересные механики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Что-то крупное, на раз в три месяца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Разговоры в подвале ^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Книги, которые можем порекомендовать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История на миллион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Спасти кошку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Искусство драматургии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Impro?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Play Unsafe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101 things that I learned in architecture school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Игры, которые обзор веселье: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ICRPG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10 candles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