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Synopsis</w:t>
      </w:r>
    </w:p>
    <w:p>
      <w:pPr>
        <w:jc w:val="center"/>
      </w:pPr>
      <w:r>
        <w:rPr>
          <w:color w:val="595959"/>
          <w:sz w:val="28"/>
        </w:rPr>
        <w:t>AAL Sales Analysis - Q4 2020</w:t>
      </w:r>
    </w:p>
    <w:p/>
    <w:p>
      <w:pPr>
        <w:pStyle w:val="Heading1"/>
      </w:pPr>
      <w:r>
        <w:t>Objective</w:t>
      </w:r>
    </w:p>
    <w:p>
      <w:r>
        <w:t>To analyze the Q4 2020 sales data of AAL (Australian Apparel Limited) across different Australian states and demographic groups, and provide data-driven recommendations to assist the CEO in making informed business expansion and investment decisions.</w:t>
      </w:r>
    </w:p>
    <w:p>
      <w:pPr>
        <w:pStyle w:val="Heading1"/>
      </w:pPr>
      <w:r>
        <w:t>Dataset</w:t>
      </w:r>
    </w:p>
    <w:p>
      <w:r>
        <w:t>The dataset contains 7,559 sales records from October to December 2020, covering 7 Australian states (VIC, NSW, SA, QLD, TAS, NT, WA), 4 demographic groups (Kids, Men, Women, Seniors), and 3 time slots (Morning, Afternoon, Evening).</w:t>
      </w:r>
    </w:p>
    <w:p>
      <w:pPr>
        <w:pStyle w:val="Heading1"/>
      </w:pPr>
      <w:r>
        <w:t>Approach</w:t>
      </w:r>
    </w:p>
    <w:p>
      <w:pPr>
        <w:pStyle w:val="Heading2"/>
      </w:pPr>
      <w:r>
        <w:t>Data Wrangling</w:t>
      </w:r>
    </w:p>
    <w:p>
      <w:pPr>
        <w:pStyle w:val="ListBullet"/>
      </w:pPr>
      <w:r>
        <w:t>Cleaned the dataset by stripping whitespace from column names and string values.</w:t>
      </w:r>
    </w:p>
    <w:p>
      <w:pPr>
        <w:pStyle w:val="ListBullet"/>
      </w:pPr>
      <w:r>
        <w:t>Inspected for missing values using isna() and notna() — no missing values were found.</w:t>
      </w:r>
    </w:p>
    <w:p>
      <w:pPr>
        <w:pStyle w:val="ListBullet"/>
      </w:pPr>
      <w:r>
        <w:t>Applied Min-Max Normalization on the Sales column to scale values between 0 and 1 for fair comparison.</w:t>
      </w:r>
    </w:p>
    <w:p>
      <w:pPr>
        <w:pStyle w:val="ListBullet"/>
      </w:pPr>
      <w:r>
        <w:t>Used GroupBy() to aggregate sales by State, Group, and Time for meaningful analysis.</w:t>
      </w:r>
    </w:p>
    <w:p>
      <w:pPr>
        <w:pStyle w:val="Heading2"/>
      </w:pPr>
      <w:r>
        <w:t>Data Analysis</w:t>
      </w:r>
    </w:p>
    <w:p>
      <w:pPr>
        <w:pStyle w:val="ListBullet"/>
      </w:pPr>
      <w:r>
        <w:t>Performed descriptive statistical analysis (mean, median, mode, standard deviation) on Sales and Unit columns.</w:t>
      </w:r>
    </w:p>
    <w:p>
      <w:pPr>
        <w:pStyle w:val="ListBullet"/>
      </w:pPr>
      <w:r>
        <w:t>Identified VIC as the highest revenue state and WA as the lowest.</w:t>
      </w:r>
    </w:p>
    <w:p>
      <w:pPr>
        <w:pStyle w:val="ListBullet"/>
      </w:pPr>
      <w:r>
        <w:t>All four demographic groups (Men, Women, Kids, Seniors) contribute nearly equally to total revenue.</w:t>
      </w:r>
    </w:p>
    <w:p>
      <w:pPr>
        <w:pStyle w:val="ListBullet"/>
      </w:pPr>
      <w:r>
        <w:t>Generated weekly, monthly, and quarterly sales reports.</w:t>
      </w:r>
    </w:p>
    <w:p>
      <w:pPr>
        <w:pStyle w:val="Heading2"/>
      </w:pPr>
      <w:r>
        <w:t>Data Visualization</w:t>
      </w:r>
    </w:p>
    <w:p>
      <w:pPr>
        <w:pStyle w:val="ListBullet"/>
      </w:pPr>
      <w:r>
        <w:t>Created bar charts for state-wise and group-wise sales comparisons.</w:t>
      </w:r>
    </w:p>
    <w:p>
      <w:pPr>
        <w:pStyle w:val="ListBullet"/>
      </w:pPr>
      <w:r>
        <w:t>Used box plots for descriptive statistics of sales distribution.</w:t>
      </w:r>
    </w:p>
    <w:p>
      <w:pPr>
        <w:pStyle w:val="ListBullet"/>
      </w:pPr>
      <w:r>
        <w:t>Used Seaborn distribution plots for Sales and Unit distributions.</w:t>
      </w:r>
    </w:p>
    <w:p>
      <w:pPr>
        <w:pStyle w:val="ListBullet"/>
      </w:pPr>
      <w:r>
        <w:t>Built daily, weekly, and monthly trend charts to track sales over time.</w:t>
      </w:r>
    </w:p>
    <w:p>
      <w:pPr>
        <w:pStyle w:val="ListBullet"/>
      </w:pPr>
      <w:r>
        <w:t>Created a heatmap showing the relationship between states and demographic groups.</w:t>
      </w:r>
    </w:p>
    <w:p>
      <w:pPr>
        <w:pStyle w:val="ListBullet"/>
      </w:pPr>
      <w:r>
        <w:t>Seaborn was chosen as the primary visualization library due to its clean aesthetics and built-in support for statistical plotting.</w:t>
      </w:r>
    </w:p>
    <w:p>
      <w:pPr>
        <w:pStyle w:val="Heading1"/>
      </w:pPr>
      <w:r>
        <w:t>Key Findings</w:t>
      </w:r>
    </w:p>
    <w:p>
      <w:pPr>
        <w:pStyle w:val="ListNumber"/>
      </w:pPr>
      <w:r>
        <w:t>VIC dominates revenue generation, followed by NSW and SA.</w:t>
      </w:r>
    </w:p>
    <w:p>
      <w:pPr>
        <w:pStyle w:val="ListNumber"/>
      </w:pPr>
      <w:r>
        <w:t>WA, NT, and TAS are the lowest-performing states and need targeted sales programs.</w:t>
      </w:r>
    </w:p>
    <w:p>
      <w:pPr>
        <w:pStyle w:val="ListNumber"/>
      </w:pPr>
      <w:r>
        <w:t>All demographic groups contribute almost equally — the product portfolio is well-balanced.</w:t>
      </w:r>
    </w:p>
    <w:p>
      <w:pPr>
        <w:pStyle w:val="ListNumber"/>
      </w:pPr>
      <w:r>
        <w:t>Morning is the peak sales period; afternoon and evening are off-peak.</w:t>
      </w:r>
    </w:p>
    <w:p>
      <w:pPr>
        <w:pStyle w:val="ListNumber"/>
      </w:pPr>
      <w:r>
        <w:t>Sales remain relatively consistent across the quarter with no major dips.</w:t>
      </w:r>
    </w:p>
    <w:p>
      <w:pPr>
        <w:pStyle w:val="Heading1"/>
      </w:pPr>
      <w:r>
        <w:t>Recommendations</w:t>
      </w:r>
    </w:p>
    <w:p>
      <w:pPr>
        <w:pStyle w:val="ListNumber"/>
      </w:pPr>
      <w:r>
        <w:t>Prioritize expansion in VIC and NSW as proven high-revenue markets.</w:t>
      </w:r>
    </w:p>
    <w:p>
      <w:pPr>
        <w:pStyle w:val="ListNumber"/>
      </w:pPr>
      <w:r>
        <w:t>Launch targeted promotions and marketing campaigns in WA, NT, and TAS to boost revenue.</w:t>
      </w:r>
    </w:p>
    <w:p>
      <w:pPr>
        <w:pStyle w:val="ListNumber"/>
      </w:pPr>
      <w:r>
        <w:t>Implement hyper-personalization and Next Best Offer strategies during off-peak hours (afternoon/evening).</w:t>
      </w:r>
    </w:p>
    <w:p>
      <w:pPr>
        <w:pStyle w:val="ListNumber"/>
      </w:pPr>
      <w:r>
        <w:t>Continue the balanced product strategy across all demographic groups.</w:t>
      </w:r>
    </w:p>
    <w:p>
      <w:pPr>
        <w:pStyle w:val="ListNumber"/>
      </w:pPr>
      <w:r>
        <w:t>Use weekly sales reports for better inventory and staffing planning.</w:t>
      </w:r>
    </w:p>
    <w:p>
      <w:pPr>
        <w:pStyle w:val="Heading1"/>
      </w:pPr>
      <w:r>
        <w:t>Tools Used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 / Library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Python 3.x</w:t>
            </w:r>
          </w:p>
        </w:tc>
        <w:tc>
          <w:tcPr>
            <w:tcW w:type="dxa" w:w="4320"/>
          </w:tcPr>
          <w:p>
            <w:r>
              <w:t>Programming language</w:t>
            </w:r>
          </w:p>
        </w:tc>
      </w:tr>
      <w:tr>
        <w:tc>
          <w:tcPr>
            <w:tcW w:type="dxa" w:w="4320"/>
          </w:tcPr>
          <w:p>
            <w:r>
              <w:t>Pandas</w:t>
            </w:r>
          </w:p>
        </w:tc>
        <w:tc>
          <w:tcPr>
            <w:tcW w:type="dxa" w:w="4320"/>
          </w:tcPr>
          <w:p>
            <w:r>
              <w:t>Data loading, cleaning, and aggregation</w:t>
            </w:r>
          </w:p>
        </w:tc>
      </w:tr>
      <w:tr>
        <w:tc>
          <w:tcPr>
            <w:tcW w:type="dxa" w:w="4320"/>
          </w:tcPr>
          <w:p>
            <w:r>
              <w:t>NumPy</w:t>
            </w:r>
          </w:p>
        </w:tc>
        <w:tc>
          <w:tcPr>
            <w:tcW w:type="dxa" w:w="4320"/>
          </w:tcPr>
          <w:p>
            <w:r>
              <w:t>Numerical computations</w:t>
            </w:r>
          </w:p>
        </w:tc>
      </w:tr>
      <w:tr>
        <w:tc>
          <w:tcPr>
            <w:tcW w:type="dxa" w:w="4320"/>
          </w:tcPr>
          <w:p>
            <w:r>
              <w:t>SciPy</w:t>
            </w:r>
          </w:p>
        </w:tc>
        <w:tc>
          <w:tcPr>
            <w:tcW w:type="dxa" w:w="4320"/>
          </w:tcPr>
          <w:p>
            <w:r>
              <w:t>Statistical functions</w:t>
            </w:r>
          </w:p>
        </w:tc>
      </w:tr>
      <w:tr>
        <w:tc>
          <w:tcPr>
            <w:tcW w:type="dxa" w:w="4320"/>
          </w:tcPr>
          <w:p>
            <w:r>
              <w:t>Matplotlib</w:t>
            </w:r>
          </w:p>
        </w:tc>
        <w:tc>
          <w:tcPr>
            <w:tcW w:type="dxa" w:w="4320"/>
          </w:tcPr>
          <w:p>
            <w:r>
              <w:t>Base plotting library</w:t>
            </w:r>
          </w:p>
        </w:tc>
      </w:tr>
      <w:tr>
        <w:tc>
          <w:tcPr>
            <w:tcW w:type="dxa" w:w="4320"/>
          </w:tcPr>
          <w:p>
            <w:r>
              <w:t>Seaborn</w:t>
            </w:r>
          </w:p>
        </w:tc>
        <w:tc>
          <w:tcPr>
            <w:tcW w:type="dxa" w:w="4320"/>
          </w:tcPr>
          <w:p>
            <w:r>
              <w:t>Statistical visualizations</w:t>
            </w:r>
          </w:p>
        </w:tc>
      </w:tr>
      <w:tr>
        <w:tc>
          <w:tcPr>
            <w:tcW w:type="dxa" w:w="4320"/>
          </w:tcPr>
          <w:p>
            <w:r>
              <w:t>Jupyter Notebook</w:t>
            </w:r>
          </w:p>
        </w:tc>
        <w:tc>
          <w:tcPr>
            <w:tcW w:type="dxa" w:w="4320"/>
          </w:tcPr>
          <w:p>
            <w:r>
              <w:t>Report generation (code + visuals + markdown)</w:t>
            </w:r>
          </w:p>
        </w:tc>
      </w:tr>
      <w:tr>
        <w:tc>
          <w:tcPr>
            <w:tcW w:type="dxa" w:w="4320"/>
          </w:tcPr>
          <w:p>
            <w:r>
              <w:t>VS Code</w:t>
            </w:r>
          </w:p>
        </w:tc>
        <w:tc>
          <w:tcPr>
            <w:tcW w:type="dxa" w:w="4320"/>
          </w:tcPr>
          <w:p>
            <w:r>
              <w:t>IDE with Jupyter extension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