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word/fontTable.xml" ContentType="application/vnd.openxmlformats-officedocument.wordprocessingml.fontTable+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word/glossary/footnotes.xml" ContentType="application/vnd.openxmlformats-officedocument.wordprocessingml.footnotes+xml"/>
  <Override PartName="/word/header1.xml" ContentType="application/vnd.openxmlformats-officedocument.wordprocessingml.header+xml"/>
  <Override PartName="/word/glossary/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331ECED">
      <w:pPr>
        <w:pBdr/>
        <w:spacing/>
        <w:ind/>
        <w:jc w:val="left"/>
        <w:rPr>
          <w:rFonts w:ascii="Readex Pro" w:hAnsi="Readex Pro" w:cs="Readex Pro"/>
          <w:color w:val="765718"/>
        </w:rPr>
      </w:pPr>
      <w:r>
        <w:rPr>
          <w:rFonts w:ascii="Readex Pro" w:hAnsi="Readex Pro" w:eastAsia="Readex Pro" w:cs="Readex Pro"/>
          <w:b/>
          <w:color w:val="765718"/>
          <w:sz w:val="28"/>
          <w:highlight w:val="none"/>
        </w:rPr>
        <mc:AlternateContent>
          <mc:Choice Requires="wpg">
            <w:drawing>
              <wp:inline xmlns:wp="http://schemas.openxmlformats.org/drawingml/2006/wordprocessingDrawing" distT="0" distB="0" distL="0" distR="0">
                <wp:extent cx="2135365" cy="35767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61118" name=""/>
                        <pic:cNvPicPr>
                          <a:picLocks noChangeAspect="1"/>
                        </pic:cNvPicPr>
                        <pic:nvPr/>
                      </pic:nvPicPr>
                      <pic:blipFill rotWithShape="1">
                        <a:blip r:embed="rId12"/>
                        <a:stretch/>
                      </pic:blipFill>
                      <pic:spPr bwMode="auto">
                        <a:xfrm flipH="0" flipV="0">
                          <a:off x="0" y="0"/>
                          <a:ext cx="2135364" cy="357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68.14pt;height:28.16pt;mso-wrap-distance-left:0.00pt;mso-wrap-distance-top:0.00pt;mso-wrap-distance-right:0.00pt;mso-wrap-distance-bottom:0.00pt;z-index:1;" stroked="false">
                <v:imagedata r:id="rId12" o:title=""/>
                <o:lock v:ext="edit" rotation="t"/>
              </v:shape>
            </w:pict>
          </mc:Fallback>
        </mc:AlternateContent>
      </w:r>
      <w:r>
        <w:rPr>
          <w:rFonts w:ascii="Readex Pro" w:hAnsi="Readex Pro" w:eastAsia="Readex Pro" w:cs="Readex Pro"/>
          <w:b/>
          <w:color w:val="765718"/>
          <w:sz w:val="28"/>
          <w:highlight w:val="none"/>
        </w:rPr>
      </w:r>
      <w:r>
        <w:rPr>
          <w:rFonts w:ascii="Readex Pro" w:hAnsi="Readex Pro" w:eastAsia="Readex Pro" w:cs="Readex Pro"/>
          <w:b/>
          <w:color w:val="765718"/>
          <w:sz w:val="28"/>
          <w:highlight w:val="none"/>
        </w:rPr>
      </w:r>
    </w:p>
    <w:p>
      <w:pPr>
        <w:suppressLineNumbers w:val="false"/>
        <w:pBdr/>
        <w:spacing w:after="160" w:before="4535" w:line="240" w:lineRule="auto"/>
        <w:ind w:firstLine="0"/>
        <w:jc w:val="center"/>
        <w:rPr>
          <w:rFonts w:ascii="Readex Pro" w:hAnsi="Readex Pro" w:cs="Readex Pro"/>
          <w:color w:val="765718"/>
          <w:sz w:val="56"/>
          <w:szCs w:val="56"/>
        </w:rPr>
      </w:pPr>
      <w:r>
        <w:rPr>
          <w:rFonts w:ascii="Readex Pro" w:hAnsi="Readex Pro" w:eastAsia="Readex Pro" w:cs="Readex Pro"/>
          <w:b/>
          <w:i w:val="0"/>
          <w:color w:val="765718"/>
          <w:sz w:val="56"/>
          <w:szCs w:val="56"/>
        </w:rPr>
        <w:t xml:space="preserve">BetStrike</w:t>
      </w:r>
      <w:r>
        <w:rPr>
          <w:rFonts w:ascii="Readex Pro" w:hAnsi="Readex Pro" w:eastAsia="Readex Pro" w:cs="Readex Pro"/>
          <w:color w:val="765718"/>
          <w:sz w:val="56"/>
          <w:szCs w:val="56"/>
        </w:rPr>
      </w:r>
      <w:r>
        <w:rPr>
          <w:rFonts w:ascii="Readex Pro" w:hAnsi="Readex Pro" w:cs="Readex Pro"/>
          <w:color w:val="765718"/>
          <w:sz w:val="56"/>
          <w:szCs w:val="56"/>
        </w:rPr>
      </w:r>
    </w:p>
    <w:p>
      <w:pPr>
        <w:suppressLineNumbers w:val="false"/>
        <w:pBdr/>
        <w:spacing w:after="3402" w:before="0" w:line="240" w:lineRule="auto"/>
        <w:ind/>
        <w:jc w:val="center"/>
        <w:rPr>
          <w:rFonts w:ascii="Readex Pro" w:hAnsi="Readex Pro" w:eastAsia="Readex Pro" w:cs="Readex Pro"/>
          <w:sz w:val="18"/>
          <w:szCs w:val="18"/>
          <w:highlight w:val="none"/>
        </w:rPr>
      </w:pPr>
      <w:r>
        <w:rPr>
          <w:rFonts w:ascii="Readex Pro" w:hAnsi="Readex Pro" w:eastAsia="Readex Pro" w:cs="Readex Pro"/>
          <w:b w:val="0"/>
          <w:i/>
          <w:sz w:val="20"/>
          <w:szCs w:val="18"/>
        </w:rPr>
        <w:t xml:space="preserve">Integração REST, Base de Dados, Middleware e Streaming de </w:t>
      </w:r>
      <w:r>
        <w:rPr>
          <w:rFonts w:ascii="Readex Pro" w:hAnsi="Readex Pro" w:eastAsia="Readex Pro" w:cs="Readex Pro"/>
          <w:b w:val="0"/>
          <w:i/>
          <w:sz w:val="20"/>
          <w:szCs w:val="18"/>
        </w:rPr>
        <w:t xml:space="preserve">Eventos</w:t>
      </w:r>
      <w:r>
        <w:rPr>
          <w:rFonts w:ascii="Readex Pro" w:hAnsi="Readex Pro" w:eastAsia="Readex Pro" w:cs="Readex Pro"/>
          <w:sz w:val="18"/>
          <w:szCs w:val="18"/>
        </w:rPr>
      </w:r>
      <w:r>
        <w:rPr>
          <w:rFonts w:ascii="Readex Pro" w:hAnsi="Readex Pro" w:cs="Readex Pro"/>
          <w:sz w:val="18"/>
          <w:szCs w:val="18"/>
        </w:rPr>
      </w:r>
    </w:p>
    <w:tbl>
      <w:tblPr>
        <w:tblStyle w:val="945"/>
        <w:tblW w:w="0" w:type="auto"/>
        <w:tblBorders/>
        <w:tblLayout w:type="fixed"/>
        <w:tblLook w:val="04A0" w:firstRow="1" w:lastRow="0" w:firstColumn="1" w:lastColumn="0" w:noHBand="0" w:noVBand="1"/>
      </w:tblPr>
      <w:tblGrid>
        <w:gridCol w:w="2376"/>
        <w:gridCol w:w="6962"/>
      </w:tblGrid>
      <w:tr>
        <w:trPr>
          <w:trHeight w:val="1134"/>
        </w:trPr>
        <w:tc>
          <w:tcPr>
            <w:gridSpan w:val="2"/>
            <w:tcBorders>
              <w:top w:val="single" w:color="000000" w:sz="8" w:space="0"/>
              <w:left w:val="nil" w:color="000000" w:sz="4" w:space="0"/>
              <w:bottom w:val="single" w:color="000000" w:sz="8" w:space="0"/>
              <w:right w:val="nil" w:color="000000" w:sz="4" w:space="0"/>
            </w:tcBorders>
            <w:tcW w:w="9337" w:type="dxa"/>
            <w:vAlign w:val="center"/>
          </w:tcPr>
          <w:p w14:paraId="6DF5D5F7">
            <w:pPr>
              <w:pStyle w:val="897"/>
              <w:pBdr/>
              <w:spacing/>
              <w:ind/>
              <w:jc w:val="right"/>
              <w:rPr>
                <w:rFonts w:ascii="Readex Pro" w:hAnsi="Readex Pro" w:eastAsia="Readex Pro" w:cs="Readex Pro"/>
                <w:sz w:val="22"/>
                <w:szCs w:val="22"/>
                <w:highlight w:val="none"/>
                <w:lang w:val="pt-BR"/>
              </w:rPr>
            </w:pPr>
            <w:r>
              <w:rPr>
                <w:rFonts w:ascii="Readex Pro" w:hAnsi="Readex Pro" w:eastAsia="Readex Pro" w:cs="Readex Pro"/>
                <w:b/>
                <w:bCs/>
                <w:sz w:val="22"/>
                <w:szCs w:val="22"/>
                <w:highlight w:val="none"/>
                <w:lang w:val="pt-BR"/>
              </w:rPr>
              <w:t xml:space="preserve">Filipa Monteiro </w:t>
            </w:r>
            <w:r>
              <w:rPr>
                <w:rFonts w:ascii="Readex Pro" w:hAnsi="Readex Pro" w:eastAsia="Readex Pro" w:cs="Readex Pro"/>
                <w:sz w:val="22"/>
                <w:szCs w:val="22"/>
                <w:highlight w:val="none"/>
                <w:lang w:val="pt-BR"/>
              </w:rPr>
              <w:t xml:space="preserve">78231</w:t>
              <w:br/>
            </w:r>
            <w:r>
              <w:rPr>
                <w:rFonts w:ascii="Readex Pro" w:hAnsi="Readex Pro" w:eastAsia="Readex Pro" w:cs="Readex Pro"/>
                <w:b/>
                <w:bCs/>
                <w:sz w:val="22"/>
                <w:szCs w:val="22"/>
                <w:highlight w:val="none"/>
                <w:lang w:val="pt-BR"/>
              </w:rPr>
              <w:t xml:space="preserve">João Esteves </w:t>
            </w:r>
            <w:r>
              <w:rPr>
                <w:rFonts w:ascii="Readex Pro" w:hAnsi="Readex Pro" w:eastAsia="Readex Pro" w:cs="Readex Pro"/>
                <w:sz w:val="22"/>
                <w:szCs w:val="22"/>
                <w:highlight w:val="none"/>
                <w:lang w:val="pt-BR"/>
              </w:rPr>
              <w:t xml:space="preserve">78411</w:t>
            </w:r>
            <w:r>
              <w:rPr>
                <w:rFonts w:ascii="Readex Pro" w:hAnsi="Readex Pro" w:eastAsia="Readex Pro" w:cs="Readex Pro"/>
                <w:sz w:val="22"/>
                <w:szCs w:val="22"/>
                <w:highlight w:val="none"/>
                <w:lang w:val="pt-BR"/>
              </w:rPr>
            </w:r>
            <w:r>
              <w:rPr>
                <w:rFonts w:ascii="Readex Pro" w:hAnsi="Readex Pro" w:eastAsia="Readex Pro" w:cs="Readex Pro"/>
                <w:sz w:val="22"/>
                <w:szCs w:val="22"/>
                <w:highlight w:val="none"/>
                <w:lang w:val="pt-BR"/>
              </w:rPr>
            </w:r>
          </w:p>
          <w:p w14:paraId="07FBFC5C">
            <w:pPr>
              <w:pStyle w:val="897"/>
              <w:pBdr/>
              <w:spacing/>
              <w:ind/>
              <w:jc w:val="right"/>
              <w:rPr>
                <w:rFonts w:ascii="Readex Pro" w:hAnsi="Readex Pro" w:eastAsia="Readex Pro" w:cs="Readex Pro"/>
                <w:sz w:val="22"/>
                <w:szCs w:val="22"/>
                <w:highlight w:val="none"/>
              </w:rPr>
            </w:pPr>
            <w:r>
              <w:rPr>
                <w:rFonts w:ascii="Readex Pro" w:hAnsi="Readex Pro" w:eastAsia="Readex Pro" w:cs="Readex Pro"/>
                <w:sz w:val="22"/>
                <w:highlight w:val="none"/>
                <w:lang w:val="pt-BR"/>
              </w:rPr>
              <w:t xml:space="preserve">Mestrado em Engenharia Informática, </w:t>
            </w:r>
            <w:r>
              <w:rPr>
                <w:rFonts w:ascii="Readex Pro" w:hAnsi="Readex Pro" w:eastAsia="Readex Pro" w:cs="Readex Pro"/>
                <w:b w:val="0"/>
                <w:bCs w:val="0"/>
                <w:sz w:val="22"/>
                <w:highlight w:val="none"/>
                <w:lang w:val="pt-BR"/>
              </w:rPr>
              <w:t xml:space="preserve">Grupo D</w:t>
            </w:r>
            <w:r>
              <w:rPr>
                <w:rFonts w:ascii="Readex Pro" w:hAnsi="Readex Pro" w:eastAsia="Readex Pro" w:cs="Readex Pro"/>
                <w:b w:val="0"/>
                <w:bCs w:val="0"/>
              </w:rPr>
            </w:r>
            <w:r>
              <w:rPr>
                <w:rFonts w:ascii="Readex Pro" w:hAnsi="Readex Pro" w:eastAsia="Readex Pro" w:cs="Readex Pro"/>
                <w:sz w:val="22"/>
                <w:szCs w:val="22"/>
                <w:highlight w:val="none"/>
              </w:rPr>
            </w:r>
          </w:p>
        </w:tc>
      </w:tr>
      <w:tr>
        <w:trPr>
          <w:trHeight w:val="567"/>
        </w:trPr>
        <w:tc>
          <w:tcPr>
            <w:tcBorders>
              <w:top w:val="single" w:color="000000" w:sz="8" w:space="0"/>
              <w:left w:val="nil" w:color="000000" w:sz="4" w:space="0"/>
              <w:bottom w:val="nil" w:color="000000" w:sz="4" w:space="0"/>
              <w:right w:val="nil" w:color="000000" w:sz="4" w:space="0"/>
            </w:tcBorders>
            <w:tcW w:w="2376" w:type="dxa"/>
            <w:vAlign w:val="center"/>
          </w:tcPr>
          <w:p w14:paraId="33DCF9DC">
            <w:pPr>
              <w:pStyle w:val="897"/>
              <w:suppressLineNumbers w:val="false"/>
              <w:pBdr/>
              <w:spacing/>
              <w:ind/>
              <w:rPr>
                <w:rFonts w:ascii="Readex Pro" w:hAnsi="Readex Pro" w:eastAsia="Readex Pro" w:cs="Readex Pro"/>
                <w:b/>
                <w:bCs/>
                <w:highlight w:val="none"/>
              </w:rPr>
            </w:pPr>
            <w:r>
              <w:rPr>
                <w:rFonts w:ascii="Readex Pro" w:hAnsi="Readex Pro" w:eastAsia="Readex Pro" w:cs="Readex Pro"/>
                <w:b/>
                <w:bCs/>
                <w:sz w:val="22"/>
                <w:lang w:val="pt-BR"/>
              </w:rPr>
              <w:t xml:space="preserve">Unidade Curricular:</w:t>
            </w:r>
            <w:r>
              <w:rPr>
                <w:rFonts w:ascii="Readex Pro" w:hAnsi="Readex Pro" w:eastAsia="Readex Pro" w:cs="Readex Pro"/>
                <w:b/>
                <w:bCs/>
                <w:sz w:val="22"/>
                <w:szCs w:val="22"/>
                <w:highlight w:val="none"/>
                <w:lang w:val="pt-BR"/>
              </w:rPr>
            </w:r>
          </w:p>
        </w:tc>
        <w:tc>
          <w:tcPr>
            <w:tcBorders>
              <w:top w:val="nil" w:color="000000" w:sz="4" w:space="0"/>
              <w:left w:val="nil" w:color="000000" w:sz="4" w:space="0"/>
              <w:bottom w:val="nil" w:color="000000" w:sz="4" w:space="0"/>
              <w:right w:val="nil" w:color="000000" w:sz="4" w:space="0"/>
            </w:tcBorders>
            <w:tcW w:w="6962" w:type="dxa"/>
            <w:vAlign w:val="center"/>
          </w:tcPr>
          <w:p w14:paraId="18148B51">
            <w:pPr>
              <w:pStyle w:val="897"/>
              <w:suppressLineNumbers w:val="false"/>
              <w:pBdr/>
              <w:spacing/>
              <w:ind/>
              <w:rPr>
                <w:rFonts w:ascii="Readex Pro" w:hAnsi="Readex Pro" w:eastAsia="Readex Pro" w:cs="Readex Pro"/>
                <w:b w:val="0"/>
                <w:bCs w:val="0"/>
                <w:sz w:val="22"/>
                <w:lang w:val="pt-BR"/>
              </w:rPr>
            </w:pPr>
            <w:r>
              <w:rPr>
                <w:rFonts w:ascii="Readex Pro" w:hAnsi="Readex Pro" w:eastAsia="Readex Pro" w:cs="Readex Pro"/>
                <w:b w:val="0"/>
                <w:bCs w:val="0"/>
                <w:sz w:val="22"/>
                <w:lang w:val="pt-BR"/>
              </w:rPr>
              <w:t xml:space="preserve">Integração de Sistemas</w:t>
            </w:r>
            <w:r>
              <w:rPr>
                <w:rFonts w:ascii="Readex Pro" w:hAnsi="Readex Pro" w:eastAsia="Readex Pro" w:cs="Readex Pro"/>
                <w:b w:val="0"/>
                <w:bCs w:val="0"/>
                <w:sz w:val="22"/>
                <w:lang w:val="pt-BR"/>
              </w:rPr>
            </w:r>
          </w:p>
        </w:tc>
      </w:tr>
      <w:tr>
        <w:trPr>
          <w:trHeight w:val="567"/>
        </w:trPr>
        <w:tc>
          <w:tcPr>
            <w:tcBorders>
              <w:top w:val="nil" w:color="000000" w:sz="4" w:space="0"/>
              <w:left w:val="nil" w:color="000000" w:sz="4" w:space="0"/>
              <w:bottom w:val="nil" w:color="000000" w:sz="4" w:space="0"/>
              <w:right w:val="nil" w:color="000000" w:sz="4" w:space="0"/>
            </w:tcBorders>
            <w:tcW w:w="2376" w:type="dxa"/>
            <w:vAlign w:val="center"/>
          </w:tcPr>
          <w:p w14:paraId="067E05D2">
            <w:pPr>
              <w:pStyle w:val="897"/>
              <w:suppressLineNumbers w:val="false"/>
              <w:pBdr/>
              <w:spacing/>
              <w:ind/>
              <w:rPr>
                <w:rFonts w:ascii="Readex Pro" w:hAnsi="Readex Pro" w:eastAsia="Readex Pro" w:cs="Readex Pro"/>
                <w:b/>
                <w:bCs/>
                <w:sz w:val="22"/>
              </w:rPr>
            </w:pPr>
            <w:r>
              <w:rPr>
                <w:rFonts w:ascii="Readex Pro" w:hAnsi="Readex Pro" w:eastAsia="Readex Pro" w:cs="Readex Pro"/>
                <w:b/>
                <w:bCs/>
                <w:sz w:val="22"/>
                <w:lang w:val="pt-BR"/>
              </w:rPr>
              <w:t xml:space="preserve">Docentes:</w:t>
            </w:r>
            <w:r>
              <w:rPr>
                <w:rFonts w:ascii="Readex Pro" w:hAnsi="Readex Pro" w:eastAsia="Readex Pro" w:cs="Readex Pro"/>
                <w:b/>
                <w:bCs/>
                <w:sz w:val="22"/>
                <w:lang w:val="pt-BR"/>
              </w:rPr>
            </w:r>
          </w:p>
        </w:tc>
        <w:tc>
          <w:tcPr>
            <w:tcBorders>
              <w:top w:val="nil" w:color="000000" w:sz="4" w:space="0"/>
              <w:left w:val="nil" w:color="000000" w:sz="4" w:space="0"/>
              <w:bottom w:val="nil" w:color="000000" w:sz="4" w:space="0"/>
              <w:right w:val="nil" w:color="000000" w:sz="4" w:space="0"/>
            </w:tcBorders>
            <w:tcW w:w="6962" w:type="dxa"/>
            <w:vAlign w:val="center"/>
          </w:tcPr>
          <w:p w14:paraId="33DCF9DC">
            <w:pPr>
              <w:pStyle w:val="897"/>
              <w:suppressLineNumbers w:val="false"/>
              <w:pBdr/>
              <w:tabs>
                <w:tab w:val="center" w:leader="none" w:pos="3444"/>
              </w:tabs>
              <w:spacing/>
              <w:ind/>
              <w:rPr>
                <w:rFonts w:ascii="Readex Pro" w:hAnsi="Readex Pro" w:eastAsia="Readex Pro" w:cs="Readex Pro"/>
                <w:b w:val="0"/>
                <w:bCs w:val="0"/>
                <w:lang w:val="pt-BR"/>
              </w:rPr>
            </w:pPr>
            <w:r>
              <w:rPr>
                <w:rFonts w:ascii="Readex Pro" w:hAnsi="Readex Pro" w:eastAsia="Readex Pro" w:cs="Readex Pro"/>
                <w:b w:val="0"/>
                <w:bCs w:val="0"/>
                <w:sz w:val="22"/>
                <w:lang w:val="pt-BR"/>
              </w:rPr>
            </w:r>
            <w:r>
              <w:rPr>
                <w:rFonts w:ascii="Readex Pro" w:hAnsi="Readex Pro" w:eastAsia="Readex Pro" w:cs="Readex Pro"/>
                <w:b w:val="0"/>
                <w:bCs w:val="0"/>
                <w:sz w:val="22"/>
              </w:rPr>
              <w:t xml:space="preserve">João Paulo Pereira de Sousa</w:t>
            </w:r>
            <w:r>
              <w:rPr>
                <w:rFonts w:ascii="Readex Pro" w:hAnsi="Readex Pro" w:eastAsia="Readex Pro" w:cs="Readex Pro"/>
                <w:b w:val="0"/>
                <w:bCs w:val="0"/>
                <w:lang w:val="pt-BR"/>
              </w:rPr>
            </w:r>
            <w:r>
              <w:rPr>
                <w:rFonts w:ascii="Readex Pro" w:hAnsi="Readex Pro" w:eastAsia="Readex Pro" w:cs="Readex Pro"/>
                <w:b w:val="0"/>
                <w:bCs w:val="0"/>
                <w:sz w:val="22"/>
                <w:szCs w:val="22"/>
                <w:highlight w:val="none"/>
                <w:lang w:val="pt-BR"/>
              </w:rPr>
              <w:tab/>
            </w:r>
            <w:r>
              <w:rPr>
                <w:rFonts w:ascii="Readex Pro" w:hAnsi="Readex Pro" w:eastAsia="Readex Pro" w:cs="Readex Pro"/>
                <w:b w:val="0"/>
                <w:bCs w:val="0"/>
                <w:sz w:val="22"/>
                <w:szCs w:val="22"/>
                <w:highlight w:val="none"/>
                <w:lang w:val="pt-BR"/>
              </w:rPr>
            </w:r>
          </w:p>
          <w:p w14:paraId="2F6D06A3">
            <w:pPr>
              <w:pStyle w:val="897"/>
              <w:suppressLineNumbers w:val="false"/>
              <w:pBdr/>
              <w:spacing/>
              <w:ind/>
              <w:rPr>
                <w:rFonts w:ascii="Readex Pro" w:hAnsi="Readex Pro" w:eastAsia="Readex Pro" w:cs="Readex Pro"/>
                <w:b w:val="0"/>
                <w:bCs w:val="0"/>
                <w:sz w:val="22"/>
                <w:szCs w:val="22"/>
                <w:highlight w:val="none"/>
                <w:lang w:val="pt-BR"/>
              </w:rPr>
            </w:pPr>
            <w:r>
              <w:rPr>
                <w:rFonts w:ascii="Readex Pro" w:hAnsi="Readex Pro" w:eastAsia="Readex Pro" w:cs="Readex Pro"/>
                <w:b w:val="0"/>
                <w:bCs w:val="0"/>
                <w:lang w:val="pt-BR"/>
              </w:rPr>
              <w:t xml:space="preserve">Hugo Alexandre Paredes Guedes da Silva</w:t>
            </w:r>
            <w:r>
              <w:rPr>
                <w:rFonts w:ascii="Readex Pro" w:hAnsi="Readex Pro" w:eastAsia="Readex Pro" w:cs="Readex Pro"/>
                <w:b w:val="0"/>
                <w:bCs w:val="0"/>
                <w:sz w:val="22"/>
                <w:szCs w:val="22"/>
                <w:highlight w:val="none"/>
                <w:lang w:val="pt-BR"/>
              </w:rPr>
            </w:r>
            <w:r/>
          </w:p>
        </w:tc>
      </w:tr>
    </w:tbl>
    <w:p w14:paraId="1C59D7ED">
      <w:pPr>
        <w:pBdr/>
        <w:spacing w:before="240"/>
        <w:ind/>
        <w:jc w:val="center"/>
        <w:rPr>
          <w:rFonts w:ascii="Readex Pro" w:hAnsi="Readex Pro" w:cs="Readex Pro"/>
        </w:rPr>
      </w:pPr>
      <w:r>
        <w:rPr>
          <w:rFonts w:ascii="Readex Pro" w:hAnsi="Readex Pro" w:eastAsia="Readex Pro" w:cs="Readex Pro"/>
          <w:highlight w:val="none"/>
          <w:lang w:val="pt-BR"/>
        </w:rPr>
        <w:t xml:space="preserve">Vila Real, junho de 2026</w:t>
      </w:r>
      <w:r>
        <w:rPr>
          <w:rFonts w:ascii="Readex Pro" w:hAnsi="Readex Pro" w:eastAsia="Readex Pro" w:cs="Readex Pro"/>
          <w:highlight w:val="none"/>
        </w:rPr>
      </w:r>
      <w:r>
        <w:rPr>
          <w:rFonts w:ascii="Readex Pro" w:hAnsi="Readex Pro" w:eastAsia="Readex Pro" w:cs="Readex Pro"/>
          <w:highlight w:val="none"/>
        </w:rPr>
      </w:r>
    </w:p>
    <w:p>
      <w:pPr>
        <w:pBdr/>
        <w:spacing/>
        <w:ind/>
        <w:rPr>
          <w:rFonts w:ascii="Readex Pro" w:hAnsi="Readex Pro" w:eastAsia="Readex Pro" w:cs="Readex Pro"/>
          <w:highlight w:val="none"/>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14:paraId="765B42B9">
      <w:pPr>
        <w:pBdr/>
        <w:spacing/>
        <w:ind/>
        <w:rPr>
          <w:b/>
          <w:bCs/>
          <w:color w:val="765718"/>
          <w:sz w:val="28"/>
          <w:szCs w:val="28"/>
          <w:highlight w:val="none"/>
          <w:lang w:val="pt-BR" w:bidi="pt-BR"/>
          <w14:ligatures w14:val="none"/>
        </w:rPr>
      </w:pPr>
      <w:r>
        <w:rPr>
          <w:b/>
          <w:bCs/>
          <w:color w:val="765718"/>
          <w:sz w:val="28"/>
          <w:szCs w:val="28"/>
          <w:highlight w:val="none"/>
          <w:lang w:val="pt-BR" w:bidi="pt-BR"/>
        </w:rPr>
        <w:t xml:space="preserve">Índice</w:t>
      </w:r>
      <w:r>
        <w:rPr>
          <w:b/>
          <w:bCs/>
          <w:color w:val="765718"/>
          <w:sz w:val="28"/>
          <w:szCs w:val="28"/>
          <w:highlight w:val="none"/>
          <w:lang w:val="pt-BR" w:bidi="pt-BR"/>
          <w14:ligatures w14:val="none"/>
        </w:rPr>
      </w:r>
      <w:r>
        <w:rPr>
          <w:b/>
          <w:bCs/>
          <w:color w:val="765718"/>
          <w:sz w:val="28"/>
          <w:szCs w:val="28"/>
        </w:rPr>
      </w:r>
    </w:p>
    <w:sdt>
      <w:sdtPr>
        <w15:appearance w15:val="boundingBox"/>
        <w:placeholder>
          <w:docPart w:val="DefaultPlaceholder_TEXT"/>
        </w:placeholder>
        <w:docPartObj>
          <w:docPartGallery w:val="Table of Contents"/>
          <w:docPartUnique w:val="true"/>
        </w:docPartObj>
        <w:rPr>
          <w:b/>
          <w:bCs/>
          <w:color w:val="765718"/>
          <w:sz w:val="28"/>
          <w:szCs w:val="28"/>
          <w:highlight w:val="none"/>
          <w:lang w:val="pt-BR" w:bidi="pt-BR"/>
          <w14:ligatures w14:val="none"/>
        </w:rPr>
      </w:sdtPr>
      <w:sdtContent>
        <w:p w14:paraId="2649718B">
          <w:pPr>
            <w:pStyle w:val="869"/>
            <w:pBdr/>
            <w:tabs>
              <w:tab w:val="right" w:leader="dot" w:pos="9122"/>
            </w:tabs>
            <w:spacing/>
            <w:ind/>
            <w:rPr>
              <w:highlight w:val="none"/>
              <w14:ligatures w14:val="none"/>
            </w:rPr>
          </w:pPr>
          <w:r>
            <w:rPr>
              <w:b/>
              <w:bCs/>
              <w:color w:val="765718"/>
              <w:sz w:val="28"/>
              <w:szCs w:val="28"/>
              <w:highlight w:val="none"/>
              <w:lang w:val="pt-BR" w:bidi="pt-BR"/>
              <w14:ligatures w14:val="none"/>
            </w:rPr>
          </w:r>
          <w:r>
            <w:fldChar w:fldCharType="begin"/>
          </w:r>
          <w:r>
            <w:instrText xml:space="preserve">TOC \o "1-9" \h </w:instrText>
          </w:r>
          <w:r>
            <w:fldChar w:fldCharType="separate"/>
          </w:r>
          <w:r>
            <w:rPr>
              <w:b/>
              <w:bCs/>
              <w:color w:val="765718"/>
              <w:sz w:val="28"/>
              <w:szCs w:val="28"/>
              <w:highlight w:val="none"/>
              <w:lang w:val="pt-BR" w:bidi="pt-BR"/>
              <w14:ligatures w14:val="none"/>
            </w:rPr>
          </w:r>
          <w:hyperlink w:tooltip="#_Toc1" w:anchor="_Toc1" w:history="1">
            <w:r>
              <w:rPr>
                <w:rStyle w:val="867"/>
              </w:rPr>
            </w:r>
            <w:r>
              <w:rPr>
                <w:rStyle w:val="867"/>
              </w:rPr>
              <w:t xml:space="preserve">1. Introdução</w:t>
            </w:r>
            <w:r>
              <w:rPr>
                <w:rStyle w:val="867"/>
                <w14:ligatures w14:val="none"/>
              </w:rPr>
            </w:r>
            <w:r>
              <w:tab/>
            </w:r>
            <w:r>
              <w:fldChar w:fldCharType="begin"/>
              <w:instrText xml:space="preserve">PAGEREF _Toc1 \h</w:instrText>
              <w:fldChar w:fldCharType="separate"/>
              <w:t xml:space="preserve">4</w:t>
              <w:fldChar w:fldCharType="end"/>
            </w:r>
          </w:hyperlink>
          <w:r>
            <w:rPr>
              <w:highlight w:val="none"/>
              <w14:ligatures w14:val="none"/>
            </w:rPr>
          </w:r>
        </w:p>
        <w:p w14:paraId="451B8E31">
          <w:pPr>
            <w:pStyle w:val="869"/>
            <w:pBdr/>
            <w:tabs>
              <w:tab w:val="right" w:leader="dot" w:pos="9122"/>
            </w:tabs>
            <w:spacing/>
            <w:ind/>
            <w:rPr>
              <w14:ligatures w14:val="none"/>
            </w:rPr>
          </w:pPr>
          <w:hyperlink w:tooltip="#_Toc2" w:anchor="_Toc2" w:history="1">
            <w:r>
              <w:rPr>
                <w:rStyle w:val="867"/>
              </w:rPr>
            </w:r>
            <w:r>
              <w:rPr>
                <w:rStyle w:val="867"/>
              </w:rPr>
              <w:t xml:space="preserve">2. Arquitetura da Solução</w:t>
            </w:r>
            <w:r>
              <w:rPr>
                <w:rStyle w:val="867"/>
                <w14:ligatures w14:val="none"/>
              </w:rPr>
            </w:r>
            <w:r>
              <w:tab/>
            </w:r>
            <w:r>
              <w:fldChar w:fldCharType="begin"/>
              <w:instrText xml:space="preserve">PAGEREF _Toc2 \h</w:instrText>
              <w:fldChar w:fldCharType="separate"/>
              <w:t xml:space="preserve">5</w:t>
              <w:fldChar w:fldCharType="end"/>
            </w:r>
          </w:hyperlink>
          <w:r>
            <w:rPr>
              <w14:ligatures w14:val="none"/>
            </w:rPr>
          </w:r>
        </w:p>
        <w:p w14:paraId="27005588">
          <w:pPr>
            <w:pStyle w:val="869"/>
            <w:pBdr/>
            <w:tabs>
              <w:tab w:val="right" w:leader="dot" w:pos="9122"/>
            </w:tabs>
            <w:spacing/>
            <w:ind/>
            <w:rPr>
              <w14:ligatures w14:val="none"/>
            </w:rPr>
          </w:pPr>
          <w:hyperlink w:tooltip="#_Toc3" w:anchor="_Toc3" w:history="1">
            <w:r>
              <w:rPr>
                <w:rStyle w:val="867"/>
              </w:rPr>
            </w:r>
            <w:r>
              <w:rPr>
                <w:rStyle w:val="867"/>
              </w:rPr>
              <w:t xml:space="preserve">3. Parte 1: Integração REST e Base de Dados</w:t>
            </w:r>
            <w:r>
              <w:rPr>
                <w:rStyle w:val="867"/>
                <w14:ligatures w14:val="none"/>
              </w:rPr>
            </w:r>
            <w:r>
              <w:tab/>
            </w:r>
            <w:r>
              <w:fldChar w:fldCharType="begin"/>
              <w:instrText xml:space="preserve">PAGEREF _Toc3 \h</w:instrText>
              <w:fldChar w:fldCharType="separate"/>
              <w:t xml:space="preserve">6</w:t>
              <w:fldChar w:fldCharType="end"/>
            </w:r>
          </w:hyperlink>
          <w:r>
            <w:rPr>
              <w14:ligatures w14:val="none"/>
            </w:rPr>
          </w:r>
        </w:p>
        <w:p w14:paraId="6A54EF10">
          <w:pPr>
            <w:pStyle w:val="870"/>
            <w:pBdr/>
            <w:tabs>
              <w:tab w:val="right" w:leader="dot" w:pos="9122"/>
            </w:tabs>
            <w:spacing/>
            <w:ind/>
            <w:rPr>
              <w14:ligatures w14:val="none"/>
            </w:rPr>
          </w:pPr>
          <w:hyperlink w:tooltip="#_Toc4" w:anchor="_Toc4" w:history="1">
            <w:r>
              <w:rPr>
                <w:rStyle w:val="867"/>
              </w:rPr>
            </w:r>
            <w:r>
              <w:rPr>
                <w:rStyle w:val="867"/>
              </w:rPr>
              <w:t xml:space="preserve">3.1. Decisões de Design</w:t>
            </w:r>
            <w:r>
              <w:rPr>
                <w:rStyle w:val="867"/>
                <w14:ligatures w14:val="none"/>
              </w:rPr>
            </w:r>
            <w:r>
              <w:tab/>
            </w:r>
            <w:r>
              <w:fldChar w:fldCharType="begin"/>
              <w:instrText xml:space="preserve">PAGEREF _Toc4 \h</w:instrText>
              <w:fldChar w:fldCharType="separate"/>
              <w:t xml:space="preserve">6</w:t>
              <w:fldChar w:fldCharType="end"/>
            </w:r>
          </w:hyperlink>
          <w:r>
            <w:rPr>
              <w14:ligatures w14:val="none"/>
            </w:rPr>
          </w:r>
        </w:p>
        <w:p w14:paraId="37F9DDF5">
          <w:pPr>
            <w:pStyle w:val="870"/>
            <w:pBdr/>
            <w:tabs>
              <w:tab w:val="right" w:leader="dot" w:pos="9122"/>
            </w:tabs>
            <w:spacing/>
            <w:ind/>
            <w:rPr>
              <w14:ligatures w14:val="none"/>
            </w:rPr>
          </w:pPr>
          <w:hyperlink w:tooltip="#_Toc5" w:anchor="_Toc5" w:history="1">
            <w:r>
              <w:rPr>
                <w:rStyle w:val="867"/>
              </w:rPr>
            </w:r>
            <w:r>
              <w:rPr>
                <w:rStyle w:val="867"/>
              </w:rPr>
              <w:t xml:space="preserve">3.2. GeradorDados: Simulação da FPF</w:t>
            </w:r>
            <w:r>
              <w:rPr>
                <w:rStyle w:val="867"/>
                <w14:ligatures w14:val="none"/>
              </w:rPr>
            </w:r>
            <w:r>
              <w:tab/>
            </w:r>
            <w:r>
              <w:fldChar w:fldCharType="begin"/>
              <w:instrText xml:space="preserve">PAGEREF _Toc5 \h</w:instrText>
              <w:fldChar w:fldCharType="separate"/>
              <w:t xml:space="preserve">6</w:t>
              <w:fldChar w:fldCharType="end"/>
            </w:r>
          </w:hyperlink>
          <w:r>
            <w:rPr>
              <w14:ligatures w14:val="none"/>
            </w:rPr>
          </w:r>
        </w:p>
        <w:p w14:paraId="630DA47D">
          <w:pPr>
            <w:pStyle w:val="870"/>
            <w:pBdr/>
            <w:tabs>
              <w:tab w:val="right" w:leader="dot" w:pos="9122"/>
            </w:tabs>
            <w:spacing/>
            <w:ind/>
            <w:rPr>
              <w14:ligatures w14:val="none"/>
            </w:rPr>
          </w:pPr>
          <w:hyperlink w:tooltip="#_Toc6" w:anchor="_Toc6" w:history="1">
            <w:r>
              <w:rPr>
                <w:rStyle w:val="867"/>
              </w:rPr>
            </w:r>
            <w:r>
              <w:rPr>
                <w:rStyle w:val="867"/>
              </w:rPr>
              <w:t xml:space="preserve">3.3. Gestão de Estado dos Jogos</w:t>
            </w:r>
            <w:r>
              <w:rPr>
                <w:rStyle w:val="867"/>
                <w14:ligatures w14:val="none"/>
              </w:rPr>
            </w:r>
            <w:r>
              <w:tab/>
            </w:r>
            <w:r>
              <w:fldChar w:fldCharType="begin"/>
              <w:instrText xml:space="preserve">PAGEREF _Toc6 \h</w:instrText>
              <w:fldChar w:fldCharType="separate"/>
              <w:t xml:space="preserve">8</w:t>
              <w:fldChar w:fldCharType="end"/>
            </w:r>
          </w:hyperlink>
          <w:r>
            <w:rPr>
              <w14:ligatures w14:val="none"/>
            </w:rPr>
          </w:r>
        </w:p>
        <w:p w14:paraId="7342E44F">
          <w:pPr>
            <w:pStyle w:val="870"/>
            <w:pBdr/>
            <w:tabs>
              <w:tab w:val="right" w:leader="dot" w:pos="9122"/>
            </w:tabs>
            <w:spacing/>
            <w:ind/>
            <w:rPr>
              <w14:ligatures w14:val="none"/>
            </w:rPr>
          </w:pPr>
          <w:hyperlink w:tooltip="#_Toc7" w:anchor="_Toc7" w:history="1">
            <w:r>
              <w:rPr>
                <w:rStyle w:val="867"/>
              </w:rPr>
            </w:r>
            <w:r>
              <w:rPr>
                <w:rStyle w:val="867"/>
              </w:rPr>
              <w:t xml:space="preserve">3.4. Integração ApiApostas e ApiPagamentos</w:t>
            </w:r>
            <w:r>
              <w:rPr>
                <w:rStyle w:val="867"/>
                <w14:ligatures w14:val="none"/>
              </w:rPr>
            </w:r>
            <w:r>
              <w:tab/>
            </w:r>
            <w:r>
              <w:fldChar w:fldCharType="begin"/>
              <w:instrText xml:space="preserve">PAGEREF _Toc7 \h</w:instrText>
              <w:fldChar w:fldCharType="separate"/>
              <w:t xml:space="preserve">8</w:t>
              <w:fldChar w:fldCharType="end"/>
            </w:r>
          </w:hyperlink>
          <w:r>
            <w:rPr>
              <w14:ligatures w14:val="none"/>
            </w:rPr>
          </w:r>
        </w:p>
        <w:p w14:paraId="0C271138">
          <w:pPr>
            <w:pStyle w:val="870"/>
            <w:pBdr/>
            <w:tabs>
              <w:tab w:val="right" w:leader="dot" w:pos="9122"/>
            </w:tabs>
            <w:spacing/>
            <w:ind/>
            <w:rPr>
              <w14:ligatures w14:val="none"/>
            </w:rPr>
          </w:pPr>
          <w:hyperlink w:tooltip="#_Toc8" w:anchor="_Toc8" w:history="1">
            <w:r>
              <w:rPr>
                <w:rStyle w:val="867"/>
              </w:rPr>
            </w:r>
            <w:r>
              <w:rPr>
                <w:rStyle w:val="867"/>
              </w:rPr>
              <w:t xml:space="preserve">3.5. Frontend </w:t>
            </w:r>
            <w:r>
              <w:rPr>
                <w:rStyle w:val="867"/>
              </w:rPr>
              <w:t xml:space="preserve">Angular</w:t>
            </w:r>
            <w:r>
              <w:rPr>
                <w:rStyle w:val="867"/>
                <w14:ligatures w14:val="none"/>
              </w:rPr>
            </w:r>
            <w:r>
              <w:tab/>
            </w:r>
            <w:r>
              <w:fldChar w:fldCharType="begin"/>
              <w:instrText xml:space="preserve">PAGEREF _Toc8 \h</w:instrText>
              <w:fldChar w:fldCharType="separate"/>
              <w:t xml:space="preserve">8</w:t>
              <w:fldChar w:fldCharType="end"/>
            </w:r>
          </w:hyperlink>
          <w:r>
            <w:rPr>
              <w14:ligatures w14:val="none"/>
            </w:rPr>
          </w:r>
        </w:p>
        <w:p w14:paraId="1BF537C9">
          <w:pPr>
            <w:pStyle w:val="871"/>
            <w:pBdr/>
            <w:tabs>
              <w:tab w:val="right" w:leader="dot" w:pos="9122"/>
            </w:tabs>
            <w:spacing/>
            <w:ind/>
            <w:rPr>
              <w:rFonts w:ascii="Readex Pro" w:hAnsi="Readex Pro" w:cs="Readex Pro"/>
            </w:rPr>
          </w:pPr>
          <w:hyperlink w:tooltip="#_Toc9" w:anchor="_Toc9" w:history="1">
            <w:r>
              <w:rPr>
                <w:rStyle w:val="867"/>
              </w:rPr>
            </w:r>
            <w:r>
              <w:rPr>
                <w:rStyle w:val="867"/>
                <w:rFonts w:ascii="Readex Pro" w:hAnsi="Readex Pro" w:eastAsia="Readex Pro" w:cs="Readex Pro"/>
              </w:rPr>
              <w:t xml:space="preserve">Funcionalidades </w:t>
            </w:r>
            <w:r>
              <w:rPr>
                <w:rStyle w:val="867"/>
              </w:rPr>
              <w:t xml:space="preserve">implementadas</w:t>
            </w:r>
            <w:r>
              <w:rPr>
                <w:rStyle w:val="867"/>
                <w:rFonts w:ascii="Readex Pro" w:hAnsi="Readex Pro" w:cs="Readex Pro"/>
              </w:rPr>
            </w:r>
            <w:r>
              <w:tab/>
            </w:r>
            <w:r>
              <w:fldChar w:fldCharType="begin"/>
              <w:instrText xml:space="preserve">PAGEREF _Toc9 \h</w:instrText>
              <w:fldChar w:fldCharType="separate"/>
              <w:t xml:space="preserve">9</w:t>
              <w:fldChar w:fldCharType="end"/>
            </w:r>
          </w:hyperlink>
          <w:r>
            <w:rPr>
              <w:rFonts w:ascii="Readex Pro" w:hAnsi="Readex Pro" w:cs="Readex Pro"/>
            </w:rPr>
          </w:r>
        </w:p>
        <w:p w14:paraId="2860287F">
          <w:pPr>
            <w:pStyle w:val="871"/>
            <w:pBdr/>
            <w:tabs>
              <w:tab w:val="right" w:leader="dot" w:pos="9122"/>
            </w:tabs>
            <w:spacing/>
            <w:ind/>
            <w:rPr>
              <w:highlight w:val="none"/>
              <w14:ligatures w14:val="none"/>
            </w:rPr>
          </w:pPr>
          <w:hyperlink w:tooltip="#_Toc10" w:anchor="_Toc10" w:history="1">
            <w:r>
              <w:rPr>
                <w:rStyle w:val="867"/>
              </w:rPr>
            </w:r>
            <w:r>
              <w:rPr>
                <w:rStyle w:val="867"/>
              </w:rPr>
              <w:t xml:space="preserve">Análise da relação com a API</w:t>
            </w:r>
            <w:r>
              <w:rPr>
                <w:rStyle w:val="867"/>
                <w14:ligatures w14:val="none"/>
              </w:rPr>
            </w:r>
            <w:r>
              <w:tab/>
            </w:r>
            <w:r>
              <w:fldChar w:fldCharType="begin"/>
              <w:instrText xml:space="preserve">PAGEREF _Toc10 \h</w:instrText>
              <w:fldChar w:fldCharType="separate"/>
              <w:t xml:space="preserve">11</w:t>
              <w:fldChar w:fldCharType="end"/>
            </w:r>
          </w:hyperlink>
          <w:r>
            <w:rPr>
              <w:highlight w:val="none"/>
              <w14:ligatures w14:val="none"/>
            </w:rPr>
          </w:r>
        </w:p>
        <w:p w14:paraId="63D326A0">
          <w:pPr>
            <w:pStyle w:val="870"/>
            <w:pBdr/>
            <w:tabs>
              <w:tab w:val="right" w:leader="dot" w:pos="9122"/>
            </w:tabs>
            <w:spacing/>
            <w:ind/>
            <w:rPr>
              <w14:ligatures w14:val="none"/>
            </w:rPr>
          </w:pPr>
          <w:hyperlink w:tooltip="#_Toc11" w:anchor="_Toc11" w:history="1">
            <w:r>
              <w:rPr>
                <w:rStyle w:val="867"/>
              </w:rPr>
            </w:r>
            <w:r>
              <w:rPr>
                <w:rStyle w:val="867"/>
              </w:rPr>
              <w:t xml:space="preserve">3.6. </w:t>
            </w:r>
            <w:r>
              <w:rPr>
                <w:rStyle w:val="867"/>
              </w:rPr>
              <w:t xml:space="preserve">Containerização</w:t>
            </w:r>
            <w:r>
              <w:rPr>
                <w:rStyle w:val="867"/>
                <w14:ligatures w14:val="none"/>
              </w:rPr>
            </w:r>
            <w:r>
              <w:tab/>
            </w:r>
            <w:r>
              <w:fldChar w:fldCharType="begin"/>
              <w:instrText xml:space="preserve">PAGEREF _Toc11 \h</w:instrText>
              <w:fldChar w:fldCharType="separate"/>
              <w:t xml:space="preserve">11</w:t>
              <w:fldChar w:fldCharType="end"/>
            </w:r>
          </w:hyperlink>
          <w:r>
            <w:rPr>
              <w14:ligatures w14:val="none"/>
            </w:rPr>
          </w:r>
        </w:p>
        <w:p w14:paraId="2448ADDF">
          <w:pPr>
            <w:pStyle w:val="869"/>
            <w:pBdr/>
            <w:tabs>
              <w:tab w:val="right" w:leader="dot" w:pos="9122"/>
            </w:tabs>
            <w:spacing/>
            <w:ind/>
            <w:rPr>
              <w14:ligatures w14:val="none"/>
            </w:rPr>
          </w:pPr>
          <w:hyperlink w:tooltip="#_Toc12" w:anchor="_Toc12" w:history="1">
            <w:r>
              <w:rPr>
                <w:rStyle w:val="867"/>
              </w:rPr>
            </w:r>
            <w:r>
              <w:rPr>
                <w:rStyle w:val="867"/>
              </w:rPr>
              <w:t xml:space="preserve">4. Parte 2: Motivação para o Middleware</w:t>
            </w:r>
            <w:r>
              <w:rPr>
                <w:rStyle w:val="867"/>
                <w14:ligatures w14:val="none"/>
              </w:rPr>
            </w:r>
            <w:r>
              <w:tab/>
            </w:r>
            <w:r>
              <w:fldChar w:fldCharType="begin"/>
              <w:instrText xml:space="preserve">PAGEREF _Toc12 \h</w:instrText>
              <w:fldChar w:fldCharType="separate"/>
              <w:t xml:space="preserve">12</w:t>
              <w:fldChar w:fldCharType="end"/>
            </w:r>
          </w:hyperlink>
          <w:r>
            <w:rPr>
              <w14:ligatures w14:val="none"/>
            </w:rPr>
          </w:r>
        </w:p>
        <w:p w14:paraId="2F997DD0">
          <w:pPr>
            <w:pStyle w:val="869"/>
            <w:pBdr/>
            <w:tabs>
              <w:tab w:val="right" w:leader="dot" w:pos="9122"/>
            </w:tabs>
            <w:spacing/>
            <w:ind/>
            <w:rPr>
              <w14:ligatures w14:val="none"/>
            </w:rPr>
          </w:pPr>
          <w:hyperlink w:tooltip="#_Toc13" w:anchor="_Toc13" w:history="1">
            <w:r>
              <w:rPr>
                <w:rStyle w:val="867"/>
              </w:rPr>
            </w:r>
            <w:r>
              <w:rPr>
                <w:rStyle w:val="867"/>
              </w:rPr>
              <w:t xml:space="preserve">5. Apache Kafka: </w:t>
            </w:r>
            <w:r>
              <w:rPr>
                <w:rStyle w:val="867"/>
              </w:rPr>
              <w:t xml:space="preserve">Streaming </w:t>
            </w:r>
            <w:r>
              <w:rPr>
                <w:rStyle w:val="867"/>
              </w:rPr>
              <w:t xml:space="preserve">de Eventos</w:t>
            </w:r>
            <w:r>
              <w:rPr>
                <w:rStyle w:val="867"/>
                <w14:ligatures w14:val="none"/>
              </w:rPr>
            </w:r>
            <w:r>
              <w:tab/>
            </w:r>
            <w:r>
              <w:fldChar w:fldCharType="begin"/>
              <w:instrText xml:space="preserve">PAGEREF _Toc13 \h</w:instrText>
              <w:fldChar w:fldCharType="separate"/>
              <w:t xml:space="preserve">13</w:t>
              <w:fldChar w:fldCharType="end"/>
            </w:r>
          </w:hyperlink>
          <w:r>
            <w:rPr>
              <w14:ligatures w14:val="none"/>
            </w:rPr>
          </w:r>
        </w:p>
        <w:p w14:paraId="7E1C52EB">
          <w:pPr>
            <w:pStyle w:val="870"/>
            <w:pBdr/>
            <w:tabs>
              <w:tab w:val="right" w:leader="dot" w:pos="9122"/>
            </w:tabs>
            <w:spacing/>
            <w:ind/>
            <w:rPr>
              <w14:ligatures w14:val="none"/>
            </w:rPr>
          </w:pPr>
          <w:hyperlink w:tooltip="#_Toc14" w:anchor="_Toc14" w:history="1">
            <w:r>
              <w:rPr>
                <w:rStyle w:val="867"/>
              </w:rPr>
            </w:r>
            <w:r>
              <w:rPr>
                <w:rStyle w:val="867"/>
              </w:rPr>
              <w:t xml:space="preserve">5.1. Fundamentos e Adequação ao Problema</w:t>
            </w:r>
            <w:r>
              <w:rPr>
                <w:rStyle w:val="867"/>
                <w14:ligatures w14:val="none"/>
              </w:rPr>
            </w:r>
            <w:r>
              <w:tab/>
            </w:r>
            <w:r>
              <w:fldChar w:fldCharType="begin"/>
              <w:instrText xml:space="preserve">PAGEREF _Toc14 \h</w:instrText>
              <w:fldChar w:fldCharType="separate"/>
              <w:t xml:space="preserve">13</w:t>
              <w:fldChar w:fldCharType="end"/>
            </w:r>
          </w:hyperlink>
          <w:r>
            <w:rPr>
              <w14:ligatures w14:val="none"/>
            </w:rPr>
          </w:r>
        </w:p>
        <w:p w14:paraId="6D452E79">
          <w:pPr>
            <w:pStyle w:val="870"/>
            <w:pBdr/>
            <w:tabs>
              <w:tab w:val="right" w:leader="dot" w:pos="9122"/>
            </w:tabs>
            <w:spacing/>
            <w:ind/>
            <w:rPr>
              <w14:ligatures w14:val="none"/>
            </w:rPr>
          </w:pPr>
          <w:hyperlink w:tooltip="#_Toc15" w:anchor="_Toc15" w:history="1">
            <w:r>
              <w:rPr>
                <w:rStyle w:val="867"/>
              </w:rPr>
            </w:r>
            <w:r>
              <w:rPr>
                <w:rStyle w:val="867"/>
              </w:rPr>
              <w:t xml:space="preserve">5.2. Justificação da Escolha</w:t>
            </w:r>
            <w:r>
              <w:rPr>
                <w:rStyle w:val="867"/>
                <w14:ligatures w14:val="none"/>
              </w:rPr>
            </w:r>
            <w:r>
              <w:tab/>
            </w:r>
            <w:r>
              <w:fldChar w:fldCharType="begin"/>
              <w:instrText xml:space="preserve">PAGEREF _Toc15 \h</w:instrText>
              <w:fldChar w:fldCharType="separate"/>
              <w:t xml:space="preserve">13</w:t>
              <w:fldChar w:fldCharType="end"/>
            </w:r>
          </w:hyperlink>
          <w:r>
            <w:rPr>
              <w14:ligatures w14:val="none"/>
            </w:rPr>
          </w:r>
        </w:p>
        <w:p w14:paraId="14147F0E">
          <w:pPr>
            <w:pStyle w:val="870"/>
            <w:pBdr/>
            <w:tabs>
              <w:tab w:val="right" w:leader="dot" w:pos="9122"/>
            </w:tabs>
            <w:spacing/>
            <w:ind/>
            <w:rPr>
              <w14:ligatures w14:val="none"/>
            </w:rPr>
          </w:pPr>
          <w:hyperlink w:tooltip="#_Toc16" w:anchor="_Toc16" w:history="1">
            <w:r>
              <w:rPr>
                <w:rStyle w:val="867"/>
              </w:rPr>
            </w:r>
            <w:r>
              <w:rPr>
                <w:rStyle w:val="867"/>
              </w:rPr>
              <w:t xml:space="preserve">5.3. Implementação e Decisões</w:t>
            </w:r>
            <w:r>
              <w:rPr>
                <w:rStyle w:val="867"/>
                <w14:ligatures w14:val="none"/>
              </w:rPr>
            </w:r>
            <w:r>
              <w:tab/>
            </w:r>
            <w:r>
              <w:fldChar w:fldCharType="begin"/>
              <w:instrText xml:space="preserve">PAGEREF _Toc16 \h</w:instrText>
              <w:fldChar w:fldCharType="separate"/>
              <w:t xml:space="preserve">13</w:t>
              <w:fldChar w:fldCharType="end"/>
            </w:r>
          </w:hyperlink>
          <w:r>
            <w:rPr>
              <w14:ligatures w14:val="none"/>
            </w:rPr>
          </w:r>
        </w:p>
        <w:p w14:paraId="7BE0FF05">
          <w:pPr>
            <w:pStyle w:val="870"/>
            <w:pBdr/>
            <w:tabs>
              <w:tab w:val="right" w:leader="dot" w:pos="9122"/>
            </w:tabs>
            <w:spacing/>
            <w:ind/>
            <w:rPr>
              <w14:ligatures w14:val="none"/>
            </w:rPr>
          </w:pPr>
          <w:hyperlink w:tooltip="#_Toc17" w:anchor="_Toc17" w:history="1">
            <w:r>
              <w:rPr>
                <w:rStyle w:val="867"/>
              </w:rPr>
            </w:r>
            <w:r>
              <w:rPr>
                <w:rStyle w:val="867"/>
              </w:rPr>
              <w:t xml:space="preserve">5.4. Dois Tópicos, Dois Papéis</w:t>
            </w:r>
            <w:r>
              <w:rPr>
                <w:rStyle w:val="867"/>
                <w14:ligatures w14:val="none"/>
              </w:rPr>
            </w:r>
            <w:r>
              <w:tab/>
            </w:r>
            <w:r>
              <w:fldChar w:fldCharType="begin"/>
              <w:instrText xml:space="preserve">PAGEREF _Toc17 \h</w:instrText>
              <w:fldChar w:fldCharType="separate"/>
              <w:t xml:space="preserve">14</w:t>
              <w:fldChar w:fldCharType="end"/>
            </w:r>
          </w:hyperlink>
          <w:r>
            <w:rPr>
              <w14:ligatures w14:val="none"/>
            </w:rPr>
          </w:r>
        </w:p>
        <w:p w14:paraId="6902830D">
          <w:pPr>
            <w:pStyle w:val="870"/>
            <w:pBdr/>
            <w:tabs>
              <w:tab w:val="right" w:leader="dot" w:pos="9122"/>
            </w:tabs>
            <w:spacing/>
            <w:ind/>
            <w:rPr>
              <w14:ligatures w14:val="none"/>
            </w:rPr>
          </w:pPr>
          <w:hyperlink w:tooltip="#_Toc18" w:anchor="_Toc18" w:history="1">
            <w:r>
              <w:rPr>
                <w:rStyle w:val="867"/>
              </w:rPr>
            </w:r>
            <w:r>
              <w:rPr>
                <w:rStyle w:val="867"/>
              </w:rPr>
              <w:t xml:space="preserve">5.5. Análise do </w:t>
            </w:r>
            <w:r>
              <w:rPr>
                <w:rStyle w:val="867"/>
              </w:rPr>
              <w:t xml:space="preserve">Fluxo </w:t>
            </w:r>
            <w:r>
              <w:rPr>
                <w:rStyle w:val="867"/>
              </w:rPr>
              <w:t xml:space="preserve">Kafka</w:t>
            </w:r>
            <w:r>
              <w:rPr>
                <w:rStyle w:val="867"/>
                <w14:ligatures w14:val="none"/>
              </w:rPr>
            </w:r>
            <w:r>
              <w:tab/>
            </w:r>
            <w:r>
              <w:fldChar w:fldCharType="begin"/>
              <w:instrText xml:space="preserve">PAGEREF _Toc18 \h</w:instrText>
              <w:fldChar w:fldCharType="separate"/>
              <w:t xml:space="preserve">14</w:t>
              <w:fldChar w:fldCharType="end"/>
            </w:r>
          </w:hyperlink>
          <w:r>
            <w:rPr>
              <w14:ligatures w14:val="none"/>
            </w:rPr>
          </w:r>
        </w:p>
        <w:p w14:paraId="63D1D3E2">
          <w:pPr>
            <w:pStyle w:val="869"/>
            <w:pBdr/>
            <w:tabs>
              <w:tab w:val="right" w:leader="dot" w:pos="9122"/>
            </w:tabs>
            <w:spacing/>
            <w:ind/>
            <w:rPr>
              <w14:ligatures w14:val="none"/>
            </w:rPr>
          </w:pPr>
          <w:hyperlink w:tooltip="#_Toc19" w:anchor="_Toc19" w:history="1">
            <w:r>
              <w:rPr>
                <w:rStyle w:val="867"/>
              </w:rPr>
            </w:r>
            <w:r>
              <w:rPr>
                <w:rStyle w:val="867"/>
              </w:rPr>
              <w:t xml:space="preserve">6. RabbitMQ: Filas de Trabalho</w:t>
            </w:r>
            <w:r>
              <w:rPr>
                <w:rStyle w:val="867"/>
                <w14:ligatures w14:val="none"/>
              </w:rPr>
            </w:r>
            <w:r>
              <w:tab/>
            </w:r>
            <w:r>
              <w:fldChar w:fldCharType="begin"/>
              <w:instrText xml:space="preserve">PAGEREF _Toc19 \h</w:instrText>
              <w:fldChar w:fldCharType="separate"/>
              <w:t xml:space="preserve">16</w:t>
              <w:fldChar w:fldCharType="end"/>
            </w:r>
          </w:hyperlink>
          <w:r>
            <w:rPr>
              <w14:ligatures w14:val="none"/>
            </w:rPr>
          </w:r>
        </w:p>
        <w:p w14:paraId="00BC5214">
          <w:pPr>
            <w:pStyle w:val="870"/>
            <w:pBdr/>
            <w:tabs>
              <w:tab w:val="right" w:leader="dot" w:pos="9122"/>
            </w:tabs>
            <w:spacing/>
            <w:ind/>
            <w:rPr>
              <w14:ligatures w14:val="none"/>
            </w:rPr>
          </w:pPr>
          <w:hyperlink w:tooltip="#_Toc20" w:anchor="_Toc20" w:history="1">
            <w:r>
              <w:rPr>
                <w:rStyle w:val="867"/>
              </w:rPr>
            </w:r>
            <w:r>
              <w:rPr>
                <w:rStyle w:val="867"/>
              </w:rPr>
              <w:t xml:space="preserve">6.1. Fundamentos e Adequação ao Problema</w:t>
            </w:r>
            <w:r>
              <w:rPr>
                <w:rStyle w:val="867"/>
                <w14:ligatures w14:val="none"/>
              </w:rPr>
            </w:r>
            <w:r>
              <w:tab/>
            </w:r>
            <w:r>
              <w:fldChar w:fldCharType="begin"/>
              <w:instrText xml:space="preserve">PAGEREF _Toc20 \h</w:instrText>
              <w:fldChar w:fldCharType="separate"/>
              <w:t xml:space="preserve">16</w:t>
              <w:fldChar w:fldCharType="end"/>
            </w:r>
          </w:hyperlink>
          <w:r>
            <w:rPr>
              <w14:ligatures w14:val="none"/>
            </w:rPr>
          </w:r>
        </w:p>
        <w:p w14:paraId="6A150B12">
          <w:pPr>
            <w:pStyle w:val="870"/>
            <w:pBdr/>
            <w:tabs>
              <w:tab w:val="right" w:leader="dot" w:pos="9122"/>
            </w:tabs>
            <w:spacing/>
            <w:ind/>
            <w:rPr>
              <w14:ligatures w14:val="none"/>
            </w:rPr>
          </w:pPr>
          <w:hyperlink w:tooltip="#_Toc21" w:anchor="_Toc21" w:history="1">
            <w:r>
              <w:rPr>
                <w:rStyle w:val="867"/>
              </w:rPr>
            </w:r>
            <w:r>
              <w:rPr>
                <w:rStyle w:val="867"/>
              </w:rPr>
              <w:t xml:space="preserve">6.2. Justificação da Escolha</w:t>
            </w:r>
            <w:r>
              <w:rPr>
                <w:rStyle w:val="867"/>
                <w14:ligatures w14:val="none"/>
              </w:rPr>
            </w:r>
            <w:r>
              <w:tab/>
            </w:r>
            <w:r>
              <w:fldChar w:fldCharType="begin"/>
              <w:instrText xml:space="preserve">PAGEREF _Toc21 \h</w:instrText>
              <w:fldChar w:fldCharType="separate"/>
              <w:t xml:space="preserve">16</w:t>
              <w:fldChar w:fldCharType="end"/>
            </w:r>
          </w:hyperlink>
          <w:r>
            <w:rPr>
              <w14:ligatures w14:val="none"/>
            </w:rPr>
          </w:r>
        </w:p>
        <w:p w14:paraId="0051E3D5">
          <w:pPr>
            <w:pStyle w:val="870"/>
            <w:pBdr/>
            <w:tabs>
              <w:tab w:val="right" w:leader="dot" w:pos="9122"/>
            </w:tabs>
            <w:spacing/>
            <w:ind/>
            <w:rPr>
              <w14:ligatures w14:val="none"/>
            </w:rPr>
          </w:pPr>
          <w:hyperlink w:tooltip="#_Toc22" w:anchor="_Toc22" w:history="1">
            <w:r>
              <w:rPr>
                <w:rStyle w:val="867"/>
              </w:rPr>
            </w:r>
            <w:r>
              <w:rPr>
                <w:rStyle w:val="867"/>
              </w:rPr>
              <w:t xml:space="preserve">6.3. Configuração e Estratégia de Retry</w:t>
            </w:r>
            <w:r>
              <w:rPr>
                <w:rStyle w:val="867"/>
                <w14:ligatures w14:val="none"/>
              </w:rPr>
            </w:r>
            <w:r>
              <w:tab/>
            </w:r>
            <w:r>
              <w:fldChar w:fldCharType="begin"/>
              <w:instrText xml:space="preserve">PAGEREF _Toc22 \h</w:instrText>
              <w:fldChar w:fldCharType="separate"/>
              <w:t xml:space="preserve">16</w:t>
              <w:fldChar w:fldCharType="end"/>
            </w:r>
          </w:hyperlink>
          <w:r>
            <w:rPr>
              <w14:ligatures w14:val="none"/>
            </w:rPr>
          </w:r>
        </w:p>
        <w:p w14:paraId="7941E426">
          <w:pPr>
            <w:pStyle w:val="870"/>
            <w:pBdr/>
            <w:tabs>
              <w:tab w:val="right" w:leader="dot" w:pos="9122"/>
            </w:tabs>
            <w:spacing/>
            <w:ind/>
            <w:rPr>
              <w14:ligatures w14:val="none"/>
            </w:rPr>
          </w:pPr>
          <w:hyperlink w:tooltip="#_Toc23" w:anchor="_Toc23" w:history="1">
            <w:r>
              <w:rPr>
                <w:rStyle w:val="867"/>
              </w:rPr>
            </w:r>
            <w:r>
              <w:rPr>
                <w:rStyle w:val="867"/>
              </w:rPr>
              <w:t xml:space="preserve">6.4. BetResolutionWorker: Fluxo Completo</w:t>
            </w:r>
            <w:r>
              <w:rPr>
                <w:rStyle w:val="867"/>
                <w14:ligatures w14:val="none"/>
              </w:rPr>
            </w:r>
            <w:r>
              <w:tab/>
            </w:r>
            <w:r>
              <w:fldChar w:fldCharType="begin"/>
              <w:instrText xml:space="preserve">PAGEREF _Toc23 \h</w:instrText>
              <w:fldChar w:fldCharType="separate"/>
              <w:t xml:space="preserve">17</w:t>
              <w:fldChar w:fldCharType="end"/>
            </w:r>
          </w:hyperlink>
          <w:r>
            <w:rPr>
              <w14:ligatures w14:val="none"/>
            </w:rPr>
          </w:r>
        </w:p>
        <w:p w14:paraId="1033E0D2">
          <w:pPr>
            <w:pStyle w:val="870"/>
            <w:pBdr/>
            <w:tabs>
              <w:tab w:val="right" w:leader="dot" w:pos="9122"/>
            </w:tabs>
            <w:spacing/>
            <w:ind/>
            <w:rPr>
              <w:highlight w:val="none"/>
              <w14:ligatures w14:val="none"/>
            </w:rPr>
          </w:pPr>
          <w:hyperlink w:tooltip="#_Toc24" w:anchor="_Toc24" w:history="1">
            <w:r>
              <w:rPr>
                <w:rStyle w:val="867"/>
              </w:rPr>
            </w:r>
            <w:r>
              <w:rPr>
                <w:rStyle w:val="867"/>
              </w:rPr>
              <w:t xml:space="preserve">6.5. Análise do Fluxo RabbitMQ</w:t>
            </w:r>
            <w:r>
              <w:rPr>
                <w:rStyle w:val="867"/>
                <w14:ligatures w14:val="none"/>
              </w:rPr>
            </w:r>
            <w:r>
              <w:tab/>
            </w:r>
            <w:r>
              <w:fldChar w:fldCharType="begin"/>
              <w:instrText xml:space="preserve">PAGEREF _Toc24 \h</w:instrText>
              <w:fldChar w:fldCharType="separate"/>
              <w:t xml:space="preserve">17</w:t>
              <w:fldChar w:fldCharType="end"/>
            </w:r>
          </w:hyperlink>
          <w:r>
            <w:rPr>
              <w:highlight w:val="none"/>
              <w14:ligatures w14:val="none"/>
            </w:rPr>
          </w:r>
        </w:p>
        <w:p w14:paraId="55897C79">
          <w:pPr>
            <w:pStyle w:val="869"/>
            <w:pBdr/>
            <w:tabs>
              <w:tab w:val="right" w:leader="dot" w:pos="9122"/>
            </w:tabs>
            <w:spacing/>
            <w:ind/>
            <w:rPr>
              <w14:ligatures w14:val="none"/>
            </w:rPr>
          </w:pPr>
          <w:hyperlink w:tooltip="#_Toc25" w:anchor="_Toc25" w:history="1">
            <w:r>
              <w:rPr>
                <w:rStyle w:val="867"/>
              </w:rPr>
            </w:r>
            <w:r>
              <w:rPr>
                <w:rStyle w:val="867"/>
              </w:rPr>
              <w:t xml:space="preserve">7. Idempotência e Resiliência</w:t>
            </w:r>
            <w:r>
              <w:rPr>
                <w:rStyle w:val="867"/>
                <w14:ligatures w14:val="none"/>
              </w:rPr>
            </w:r>
            <w:r>
              <w:tab/>
            </w:r>
            <w:r>
              <w:fldChar w:fldCharType="begin"/>
              <w:instrText xml:space="preserve">PAGEREF _Toc25 \h</w:instrText>
              <w:fldChar w:fldCharType="separate"/>
              <w:t xml:space="preserve">19</w:t>
              <w:fldChar w:fldCharType="end"/>
            </w:r>
          </w:hyperlink>
          <w:r>
            <w:rPr>
              <w14:ligatures w14:val="none"/>
            </w:rPr>
          </w:r>
        </w:p>
        <w:p w14:paraId="05D6D680">
          <w:pPr>
            <w:pStyle w:val="870"/>
            <w:pBdr/>
            <w:tabs>
              <w:tab w:val="right" w:leader="dot" w:pos="9122"/>
            </w:tabs>
            <w:spacing/>
            <w:ind/>
            <w:rPr>
              <w14:ligatures w14:val="none"/>
            </w:rPr>
          </w:pPr>
          <w:hyperlink w:tooltip="#_Toc26" w:anchor="_Toc26" w:history="1">
            <w:r>
              <w:rPr>
                <w:rStyle w:val="867"/>
              </w:rPr>
            </w:r>
            <w:r>
              <w:rPr>
                <w:rStyle w:val="867"/>
              </w:rPr>
              <w:t xml:space="preserve">7.1. O Problema da Deduplicação</w:t>
            </w:r>
            <w:r>
              <w:rPr>
                <w:rStyle w:val="867"/>
                <w14:ligatures w14:val="none"/>
              </w:rPr>
            </w:r>
            <w:r>
              <w:tab/>
            </w:r>
            <w:r>
              <w:fldChar w:fldCharType="begin"/>
              <w:instrText xml:space="preserve">PAGEREF _Toc26 \h</w:instrText>
              <w:fldChar w:fldCharType="separate"/>
              <w:t xml:space="preserve">19</w:t>
              <w:fldChar w:fldCharType="end"/>
            </w:r>
          </w:hyperlink>
          <w:r>
            <w:rPr>
              <w14:ligatures w14:val="none"/>
            </w:rPr>
          </w:r>
        </w:p>
        <w:p w14:paraId="49320132">
          <w:pPr>
            <w:pStyle w:val="870"/>
            <w:pBdr/>
            <w:tabs>
              <w:tab w:val="right" w:leader="dot" w:pos="9122"/>
            </w:tabs>
            <w:spacing/>
            <w:ind/>
            <w:rPr>
              <w14:ligatures w14:val="none"/>
            </w:rPr>
          </w:pPr>
          <w:hyperlink w:tooltip="#_Toc27" w:anchor="_Toc27" w:history="1">
            <w:r>
              <w:rPr>
                <w:rStyle w:val="867"/>
              </w:rPr>
            </w:r>
            <w:r>
              <w:rPr>
                <w:rStyle w:val="867"/>
              </w:rPr>
              <w:t xml:space="preserve">7.2. PendingBetsSweeper: Camada de Segurança</w:t>
            </w:r>
            <w:r>
              <w:rPr>
                <w:rStyle w:val="867"/>
                <w14:ligatures w14:val="none"/>
              </w:rPr>
            </w:r>
            <w:r>
              <w:tab/>
            </w:r>
            <w:r>
              <w:fldChar w:fldCharType="begin"/>
              <w:instrText xml:space="preserve">PAGEREF _Toc27 \h</w:instrText>
              <w:fldChar w:fldCharType="separate"/>
              <w:t xml:space="preserve">19</w:t>
              <w:fldChar w:fldCharType="end"/>
            </w:r>
          </w:hyperlink>
          <w:r>
            <w:rPr>
              <w14:ligatures w14:val="none"/>
            </w:rPr>
          </w:r>
        </w:p>
        <w:p w14:paraId="632DA65F">
          <w:pPr>
            <w:pStyle w:val="870"/>
            <w:pBdr/>
            <w:tabs>
              <w:tab w:val="right" w:leader="dot" w:pos="9122"/>
            </w:tabs>
            <w:spacing/>
            <w:ind/>
            <w:rPr>
              <w14:ligatures w14:val="none"/>
            </w:rPr>
          </w:pPr>
          <w:hyperlink w:tooltip="#_Toc28" w:anchor="_Toc28" w:history="1">
            <w:r>
              <w:rPr>
                <w:rStyle w:val="867"/>
              </w:rPr>
            </w:r>
            <w:r>
              <w:rPr>
                <w:rStyle w:val="867"/>
              </w:rPr>
              <w:t xml:space="preserve">7.3. Comportamento sob Falhas</w:t>
            </w:r>
            <w:r>
              <w:rPr>
                <w:rStyle w:val="867"/>
                <w14:ligatures w14:val="none"/>
              </w:rPr>
            </w:r>
            <w:r>
              <w:tab/>
            </w:r>
            <w:r>
              <w:fldChar w:fldCharType="begin"/>
              <w:instrText xml:space="preserve">PAGEREF _Toc28 \h</w:instrText>
              <w:fldChar w:fldCharType="separate"/>
              <w:t xml:space="preserve">19</w:t>
              <w:fldChar w:fldCharType="end"/>
            </w:r>
          </w:hyperlink>
          <w:r>
            <w:rPr>
              <w14:ligatures w14:val="none"/>
            </w:rPr>
          </w:r>
        </w:p>
        <w:p w14:paraId="09D68C47">
          <w:pPr>
            <w:pStyle w:val="869"/>
            <w:pBdr/>
            <w:tabs>
              <w:tab w:val="right" w:leader="dot" w:pos="9122"/>
            </w:tabs>
            <w:spacing/>
            <w:ind/>
            <w:rPr>
              <w14:ligatures w14:val="none"/>
            </w:rPr>
          </w:pPr>
          <w:hyperlink w:tooltip="#_Toc29" w:anchor="_Toc29" w:history="1">
            <w:r>
              <w:rPr>
                <w:rStyle w:val="867"/>
              </w:rPr>
            </w:r>
            <w:r>
              <w:rPr>
                <w:rStyle w:val="867"/>
              </w:rPr>
              <w:t xml:space="preserve">8. Analytics, Dashboards e Alertas</w:t>
            </w:r>
            <w:r>
              <w:rPr>
                <w:rStyle w:val="867"/>
                <w14:ligatures w14:val="none"/>
              </w:rPr>
            </w:r>
            <w:r>
              <w:tab/>
            </w:r>
            <w:r>
              <w:fldChar w:fldCharType="begin"/>
              <w:instrText xml:space="preserve">PAGEREF _Toc29 \h</w:instrText>
              <w:fldChar w:fldCharType="separate"/>
              <w:t xml:space="preserve">21</w:t>
              <w:fldChar w:fldCharType="end"/>
            </w:r>
          </w:hyperlink>
          <w:r>
            <w:rPr>
              <w14:ligatures w14:val="none"/>
            </w:rPr>
          </w:r>
        </w:p>
        <w:p w14:paraId="3E0376A9">
          <w:pPr>
            <w:pStyle w:val="870"/>
            <w:pBdr/>
            <w:tabs>
              <w:tab w:val="right" w:leader="dot" w:pos="9122"/>
            </w:tabs>
            <w:spacing/>
            <w:ind/>
            <w:rPr>
              <w14:ligatures w14:val="none"/>
            </w:rPr>
          </w:pPr>
          <w:hyperlink w:tooltip="#_Toc30" w:anchor="_Toc30" w:history="1">
            <w:r>
              <w:rPr>
                <w:rStyle w:val="867"/>
              </w:rPr>
            </w:r>
            <w:r>
              <w:rPr>
                <w:rStyle w:val="867"/>
              </w:rPr>
              <w:t xml:space="preserve">8.1. Abordagem Arquitetural</w:t>
            </w:r>
            <w:r>
              <w:rPr>
                <w:rStyle w:val="867"/>
                <w14:ligatures w14:val="none"/>
              </w:rPr>
            </w:r>
            <w:r>
              <w:tab/>
            </w:r>
            <w:r>
              <w:fldChar w:fldCharType="begin"/>
              <w:instrText xml:space="preserve">PAGEREF _Toc30 \h</w:instrText>
              <w:fldChar w:fldCharType="separate"/>
              <w:t xml:space="preserve">21</w:t>
              <w:fldChar w:fldCharType="end"/>
            </w:r>
          </w:hyperlink>
          <w:r>
            <w:rPr>
              <w14:ligatures w14:val="none"/>
            </w:rPr>
          </w:r>
        </w:p>
        <w:p w14:paraId="437ED2E9">
          <w:pPr>
            <w:pStyle w:val="870"/>
            <w:pBdr/>
            <w:tabs>
              <w:tab w:val="right" w:leader="dot" w:pos="9122"/>
            </w:tabs>
            <w:spacing/>
            <w:ind/>
            <w:rPr>
              <w14:ligatures w14:val="none"/>
            </w:rPr>
          </w:pPr>
          <w:hyperlink w:tooltip="#_Toc31" w:anchor="_Toc31" w:history="1">
            <w:r>
              <w:rPr>
                <w:rStyle w:val="867"/>
              </w:rPr>
            </w:r>
            <w:r>
              <w:rPr>
                <w:rStyle w:val="867"/>
              </w:rPr>
              <w:t xml:space="preserve">8.2. Métricas e Alertas</w:t>
            </w:r>
            <w:r>
              <w:rPr>
                <w:rStyle w:val="867"/>
                <w14:ligatures w14:val="none"/>
              </w:rPr>
            </w:r>
            <w:r>
              <w:tab/>
            </w:r>
            <w:r>
              <w:fldChar w:fldCharType="begin"/>
              <w:instrText xml:space="preserve">PAGEREF _Toc31 \h</w:instrText>
              <w:fldChar w:fldCharType="separate"/>
              <w:t xml:space="preserve">21</w:t>
              <w:fldChar w:fldCharType="end"/>
            </w:r>
          </w:hyperlink>
          <w:r>
            <w:rPr>
              <w14:ligatures w14:val="none"/>
            </w:rPr>
          </w:r>
        </w:p>
        <w:p w14:paraId="600B613A">
          <w:pPr>
            <w:pStyle w:val="870"/>
            <w:pBdr/>
            <w:tabs>
              <w:tab w:val="right" w:leader="dot" w:pos="9122"/>
            </w:tabs>
            <w:spacing/>
            <w:ind/>
            <w:rPr>
              <w14:ligatures w14:val="none"/>
            </w:rPr>
          </w:pPr>
          <w:hyperlink w:tooltip="#_Toc32" w:anchor="_Toc32" w:history="1">
            <w:r>
              <w:rPr>
                <w:rStyle w:val="867"/>
              </w:rPr>
            </w:r>
            <w:r>
              <w:rPr>
                <w:rStyle w:val="867"/>
              </w:rPr>
              <w:t xml:space="preserve">8.3. Análise da Abordagem</w:t>
            </w:r>
            <w:r>
              <w:rPr>
                <w:rStyle w:val="867"/>
                <w14:ligatures w14:val="none"/>
              </w:rPr>
            </w:r>
            <w:r>
              <w:tab/>
            </w:r>
            <w:r>
              <w:fldChar w:fldCharType="begin"/>
              <w:instrText xml:space="preserve">PAGEREF _Toc32 \h</w:instrText>
              <w:fldChar w:fldCharType="separate"/>
              <w:t xml:space="preserve">22</w:t>
              <w:fldChar w:fldCharType="end"/>
            </w:r>
          </w:hyperlink>
          <w:r>
            <w:rPr>
              <w14:ligatures w14:val="none"/>
            </w:rPr>
          </w:r>
        </w:p>
        <w:p w14:paraId="2E6F9A1A">
          <w:pPr>
            <w:pStyle w:val="869"/>
            <w:pBdr/>
            <w:tabs>
              <w:tab w:val="right" w:leader="dot" w:pos="9122"/>
            </w:tabs>
            <w:spacing/>
            <w:ind/>
            <w:rPr>
              <w14:ligatures w14:val="none"/>
            </w:rPr>
          </w:pPr>
          <w:hyperlink w:tooltip="#_Toc33" w:anchor="_Toc33" w:history="1">
            <w:r>
              <w:rPr>
                <w:rStyle w:val="867"/>
              </w:rPr>
            </w:r>
            <w:r>
              <w:rPr>
                <w:rStyle w:val="867"/>
              </w:rPr>
              <w:t xml:space="preserve">9. Testes e Resultados</w:t>
            </w:r>
            <w:r>
              <w:rPr>
                <w:rStyle w:val="867"/>
                <w14:ligatures w14:val="none"/>
              </w:rPr>
            </w:r>
            <w:r>
              <w:tab/>
            </w:r>
            <w:r>
              <w:fldChar w:fldCharType="begin"/>
              <w:instrText xml:space="preserve">PAGEREF _Toc33 \h</w:instrText>
              <w:fldChar w:fldCharType="separate"/>
              <w:t xml:space="preserve">23</w:t>
              <w:fldChar w:fldCharType="end"/>
            </w:r>
          </w:hyperlink>
          <w:r>
            <w:rPr>
              <w14:ligatures w14:val="none"/>
            </w:rPr>
          </w:r>
        </w:p>
        <w:p w14:paraId="195EEAAE">
          <w:pPr>
            <w:pStyle w:val="870"/>
            <w:pBdr/>
            <w:tabs>
              <w:tab w:val="right" w:leader="dot" w:pos="9122"/>
            </w:tabs>
            <w:spacing/>
            <w:ind/>
            <w:rPr>
              <w14:ligatures w14:val="none"/>
            </w:rPr>
          </w:pPr>
          <w:hyperlink w:tooltip="#_Toc34" w:anchor="_Toc34" w:history="1">
            <w:r>
              <w:rPr>
                <w:rStyle w:val="867"/>
              </w:rPr>
            </w:r>
            <w:r>
              <w:rPr>
                <w:rStyle w:val="867"/>
              </w:rPr>
              <w:t xml:space="preserve">9.1. Testes de Integração</w:t>
            </w:r>
            <w:r>
              <w:rPr>
                <w:rStyle w:val="867"/>
                <w14:ligatures w14:val="none"/>
              </w:rPr>
            </w:r>
            <w:r>
              <w:tab/>
            </w:r>
            <w:r>
              <w:fldChar w:fldCharType="begin"/>
              <w:instrText xml:space="preserve">PAGEREF _Toc34 \h</w:instrText>
              <w:fldChar w:fldCharType="separate"/>
              <w:t xml:space="preserve">23</w:t>
              <w:fldChar w:fldCharType="end"/>
            </w:r>
          </w:hyperlink>
          <w:r>
            <w:rPr>
              <w14:ligatures w14:val="none"/>
            </w:rPr>
          </w:r>
        </w:p>
        <w:p w14:paraId="32C3720B">
          <w:pPr>
            <w:pStyle w:val="870"/>
            <w:pBdr/>
            <w:tabs>
              <w:tab w:val="right" w:leader="dot" w:pos="9122"/>
            </w:tabs>
            <w:spacing/>
            <w:ind/>
            <w:rPr>
              <w14:ligatures w14:val="none"/>
            </w:rPr>
          </w:pPr>
          <w:hyperlink w:tooltip="#_Toc35" w:anchor="_Toc35" w:history="1">
            <w:r>
              <w:rPr>
                <w:rStyle w:val="867"/>
              </w:rPr>
            </w:r>
            <w:r>
              <w:rPr>
                <w:rStyle w:val="867"/>
              </w:rPr>
              <w:t xml:space="preserve">9.2. Testes de Stress</w:t>
            </w:r>
            <w:r>
              <w:rPr>
                <w:rStyle w:val="867"/>
                <w14:ligatures w14:val="none"/>
              </w:rPr>
            </w:r>
            <w:r>
              <w:tab/>
            </w:r>
            <w:r>
              <w:fldChar w:fldCharType="begin"/>
              <w:instrText xml:space="preserve">PAGEREF _Toc35 \h</w:instrText>
              <w:fldChar w:fldCharType="separate"/>
              <w:t xml:space="preserve">23</w:t>
              <w:fldChar w:fldCharType="end"/>
            </w:r>
          </w:hyperlink>
          <w:r>
            <w:rPr>
              <w14:ligatures w14:val="none"/>
            </w:rPr>
          </w:r>
        </w:p>
        <w:p w14:paraId="0F199549">
          <w:pPr>
            <w:pStyle w:val="870"/>
            <w:pBdr/>
            <w:tabs>
              <w:tab w:val="right" w:leader="dot" w:pos="9122"/>
            </w:tabs>
            <w:spacing/>
            <w:ind/>
            <w:rPr>
              <w14:ligatures w14:val="none"/>
            </w:rPr>
          </w:pPr>
          <w:hyperlink w:tooltip="#_Toc36" w:anchor="_Toc36" w:history="1">
            <w:r>
              <w:rPr>
                <w:rStyle w:val="867"/>
              </w:rPr>
            </w:r>
            <w:r>
              <w:rPr>
                <w:rStyle w:val="867"/>
              </w:rPr>
              <w:t xml:space="preserve">9.3. Testes de Resiliência e Idempotência</w:t>
            </w:r>
            <w:r>
              <w:rPr>
                <w:rStyle w:val="867"/>
                <w14:ligatures w14:val="none"/>
              </w:rPr>
            </w:r>
            <w:r>
              <w:tab/>
            </w:r>
            <w:r>
              <w:fldChar w:fldCharType="begin"/>
              <w:instrText xml:space="preserve">PAGEREF _Toc36 \h</w:instrText>
              <w:fldChar w:fldCharType="separate"/>
              <w:t xml:space="preserve">23</w:t>
              <w:fldChar w:fldCharType="end"/>
            </w:r>
          </w:hyperlink>
          <w:r>
            <w:rPr>
              <w14:ligatures w14:val="none"/>
            </w:rPr>
          </w:r>
        </w:p>
        <w:p w14:paraId="26716937">
          <w:pPr>
            <w:pStyle w:val="869"/>
            <w:pBdr/>
            <w:tabs>
              <w:tab w:val="right" w:leader="dot" w:pos="9122"/>
            </w:tabs>
            <w:spacing/>
            <w:ind/>
            <w:rPr>
              <w14:ligatures w14:val="none"/>
            </w:rPr>
          </w:pPr>
          <w:hyperlink w:tooltip="#_Toc37" w:anchor="_Toc37" w:history="1">
            <w:r>
              <w:rPr>
                <w:rStyle w:val="867"/>
              </w:rPr>
            </w:r>
            <w:r>
              <w:rPr>
                <w:rStyle w:val="867"/>
              </w:rPr>
              <w:t xml:space="preserve">10. Análise Crítica e Limitações</w:t>
            </w:r>
            <w:r>
              <w:rPr>
                <w:rStyle w:val="867"/>
                <w14:ligatures w14:val="none"/>
              </w:rPr>
            </w:r>
            <w:r>
              <w:tab/>
            </w:r>
            <w:r>
              <w:fldChar w:fldCharType="begin"/>
              <w:instrText xml:space="preserve">PAGEREF _Toc37 \h</w:instrText>
              <w:fldChar w:fldCharType="separate"/>
              <w:t xml:space="preserve">25</w:t>
              <w:fldChar w:fldCharType="end"/>
            </w:r>
          </w:hyperlink>
          <w:r>
            <w:rPr>
              <w14:ligatures w14:val="none"/>
            </w:rPr>
          </w:r>
        </w:p>
        <w:p w14:paraId="63C4FD95">
          <w:pPr>
            <w:pStyle w:val="870"/>
            <w:pBdr/>
            <w:tabs>
              <w:tab w:val="right" w:leader="dot" w:pos="9122"/>
            </w:tabs>
            <w:spacing/>
            <w:ind/>
            <w:rPr>
              <w14:ligatures w14:val="none"/>
            </w:rPr>
          </w:pPr>
          <w:hyperlink w:tooltip="#_Toc38" w:anchor="_Toc38" w:history="1">
            <w:r>
              <w:rPr>
                <w:rStyle w:val="867"/>
              </w:rPr>
            </w:r>
            <w:r>
              <w:rPr>
                <w:rStyle w:val="867"/>
              </w:rPr>
              <w:t xml:space="preserve">10.1. O que Funciona Bem</w:t>
            </w:r>
            <w:r>
              <w:rPr>
                <w:rStyle w:val="867"/>
                <w14:ligatures w14:val="none"/>
              </w:rPr>
            </w:r>
            <w:r>
              <w:tab/>
            </w:r>
            <w:r>
              <w:fldChar w:fldCharType="begin"/>
              <w:instrText xml:space="preserve">PAGEREF _Toc38 \h</w:instrText>
              <w:fldChar w:fldCharType="separate"/>
              <w:t xml:space="preserve">25</w:t>
              <w:fldChar w:fldCharType="end"/>
            </w:r>
          </w:hyperlink>
          <w:r>
            <w:rPr>
              <w14:ligatures w14:val="none"/>
            </w:rPr>
          </w:r>
        </w:p>
        <w:p w14:paraId="5EA53436">
          <w:pPr>
            <w:pStyle w:val="870"/>
            <w:pBdr/>
            <w:tabs>
              <w:tab w:val="right" w:leader="dot" w:pos="9122"/>
            </w:tabs>
            <w:spacing/>
            <w:ind/>
            <w:rPr>
              <w14:ligatures w14:val="none"/>
            </w:rPr>
          </w:pPr>
          <w:hyperlink w:tooltip="#_Toc39" w:anchor="_Toc39" w:history="1">
            <w:r>
              <w:rPr>
                <w:rStyle w:val="867"/>
              </w:rPr>
            </w:r>
            <w:r>
              <w:rPr>
                <w:rStyle w:val="867"/>
              </w:rPr>
              <w:t xml:space="preserve">10.2. Limitações e Melhorias Futuras</w:t>
            </w:r>
            <w:r>
              <w:rPr>
                <w:rStyle w:val="867"/>
                <w14:ligatures w14:val="none"/>
              </w:rPr>
            </w:r>
            <w:r>
              <w:tab/>
            </w:r>
            <w:r>
              <w:fldChar w:fldCharType="begin"/>
              <w:instrText xml:space="preserve">PAGEREF _Toc39 \h</w:instrText>
              <w:fldChar w:fldCharType="separate"/>
              <w:t xml:space="preserve">25</w:t>
              <w:fldChar w:fldCharType="end"/>
            </w:r>
          </w:hyperlink>
          <w:r>
            <w:rPr>
              <w14:ligatures w14:val="none"/>
            </w:rPr>
          </w:r>
        </w:p>
        <w:p w14:paraId="7B17E78C">
          <w:pPr>
            <w:pStyle w:val="869"/>
            <w:pBdr/>
            <w:tabs>
              <w:tab w:val="right" w:leader="dot" w:pos="9122"/>
            </w:tabs>
            <w:spacing/>
            <w:ind/>
            <w:rPr>
              <w14:ligatures w14:val="none"/>
            </w:rPr>
          </w:pPr>
          <w:hyperlink w:tooltip="#_Toc40" w:anchor="_Toc40" w:history="1">
            <w:r>
              <w:rPr>
                <w:rStyle w:val="867"/>
              </w:rPr>
            </w:r>
            <w:r>
              <w:rPr>
                <w:rStyle w:val="867"/>
              </w:rPr>
              <w:t xml:space="preserve">11. Conclusão</w:t>
            </w:r>
            <w:r>
              <w:rPr>
                <w:rStyle w:val="867"/>
                <w14:ligatures w14:val="none"/>
              </w:rPr>
            </w:r>
            <w:r>
              <w:tab/>
            </w:r>
            <w:r>
              <w:fldChar w:fldCharType="begin"/>
              <w:instrText xml:space="preserve">PAGEREF _Toc40 \h</w:instrText>
              <w:fldChar w:fldCharType="separate"/>
              <w:t xml:space="preserve">26</w:t>
              <w:fldChar w:fldCharType="end"/>
            </w:r>
          </w:hyperlink>
          <w:r>
            <w:rPr>
              <w14:ligatures w14:val="none"/>
            </w:rPr>
          </w:r>
        </w:p>
        <w:p w14:paraId="35B79820">
          <w:pPr>
            <w:pStyle w:val="869"/>
            <w:pBdr/>
            <w:tabs>
              <w:tab w:val="right" w:leader="dot" w:pos="9122"/>
            </w:tabs>
            <w:spacing/>
            <w:ind/>
            <w:rPr>
              <w14:ligatures w14:val="none"/>
            </w:rPr>
          </w:pPr>
          <w:hyperlink w:tooltip="#_Toc41" w:anchor="_Toc41" w:history="1">
            <w:r>
              <w:rPr>
                <w:rStyle w:val="867"/>
              </w:rPr>
            </w:r>
            <w:r>
              <w:rPr>
                <w:rStyle w:val="867"/>
              </w:rPr>
              <w:t xml:space="preserve">12. Referências Bibliográficas</w:t>
            </w:r>
            <w:r>
              <w:rPr>
                <w:rStyle w:val="867"/>
                <w14:ligatures w14:val="none"/>
              </w:rPr>
            </w:r>
            <w:r>
              <w:tab/>
            </w:r>
            <w:r>
              <w:fldChar w:fldCharType="begin"/>
              <w:instrText xml:space="preserve">PAGEREF _Toc41 \h</w:instrText>
              <w:fldChar w:fldCharType="separate"/>
              <w:t xml:space="preserve">27</w:t>
              <w:fldChar w:fldCharType="end"/>
            </w:r>
          </w:hyperlink>
          <w:r>
            <w:rPr>
              <w14:ligatures w14:val="none"/>
            </w:rPr>
          </w:r>
        </w:p>
        <w:p w14:paraId="6A423649">
          <w:pPr>
            <w:pStyle w:val="869"/>
            <w:pBdr/>
            <w:tabs>
              <w:tab w:val="right" w:leader="dot" w:pos="9122"/>
            </w:tabs>
            <w:spacing/>
            <w:ind/>
            <w:rPr>
              <w:rFonts w:ascii="Readex Pro" w:hAnsi="Readex Pro" w:cs="Readex Pro"/>
            </w:rPr>
          </w:pPr>
          <w:hyperlink w:tooltip="#_Toc42" w:anchor="_Toc42" w:history="1">
            <w:r>
              <w:rPr>
                <w:rStyle w:val="867"/>
              </w:rPr>
            </w:r>
            <w:r>
              <w:rPr>
                <w:rStyle w:val="867"/>
                <w:rFonts w:ascii="Readex Pro" w:hAnsi="Readex Pro" w:eastAsia="Readex Pro" w:cs="Readex Pro"/>
                <w:highlight w:val="none"/>
                <w:lang w:val="pt-BR"/>
              </w:rPr>
              <w:t xml:space="preserve">Anexo 1 - Código Fonte</w:t>
            </w:r>
            <w:r>
              <w:rPr>
                <w:rStyle w:val="867"/>
                <w:rFonts w:ascii="Readex Pro" w:hAnsi="Readex Pro" w:cs="Readex Pro"/>
              </w:rPr>
            </w:r>
            <w:r>
              <w:tab/>
            </w:r>
            <w:r>
              <w:fldChar w:fldCharType="begin"/>
              <w:instrText xml:space="preserve">PAGEREF _Toc42 \h</w:instrText>
              <w:fldChar w:fldCharType="separate"/>
              <w:t xml:space="preserve">28</w:t>
              <w:fldChar w:fldCharType="end"/>
            </w:r>
          </w:hyperlink>
          <w:r>
            <w:rPr>
              <w:rFonts w:ascii="Readex Pro" w:hAnsi="Readex Pro" w:cs="Readex Pro"/>
            </w:rPr>
          </w:r>
        </w:p>
        <w:p w14:paraId="3AF292CA">
          <w:pPr>
            <w:pBdr/>
            <w:spacing/>
            <w:ind/>
            <w:rPr>
              <w:b/>
              <w:bCs/>
              <w:color w:val="765718"/>
              <w:sz w:val="28"/>
              <w:szCs w:val="28"/>
              <w:highlight w:val="none"/>
              <w:lang w:val="pt-BR" w:bidi="pt-BR"/>
              <w14:ligatures w14:val="none"/>
            </w:rPr>
          </w:pPr>
          <w:r/>
          <w:r>
            <w:fldChar w:fldCharType="end"/>
          </w:r>
          <w:r/>
          <w:r/>
        </w:p>
      </w:sdtContent>
    </w:sdt>
    <w:p w14:paraId="64B9F7CD">
      <w:pPr>
        <w:pBdr/>
        <w:spacing/>
        <w:ind/>
        <w:rPr>
          <w:highlight w:val="none"/>
          <w14:ligatures w14:val="none"/>
        </w:rPr>
      </w:pPr>
      <w:r>
        <w:rPr>
          <w:rStyle w:val="1_956"/>
          <w:lang w:val="pt-BR"/>
        </w:rPr>
      </w:r>
      <w:r>
        <w:rPr>
          <w:highlight w:val="none"/>
        </w:rPr>
        <w:br w:type="page" w:clear="all"/>
      </w:r>
      <w:r>
        <w:rPr>
          <w:highlight w:val="none"/>
        </w:rPr>
      </w:r>
      <w:r>
        <w:rPr>
          <w:highlight w:val="none"/>
        </w:rPr>
      </w:r>
    </w:p>
    <w:p>
      <w:pPr>
        <w:pStyle w:val="885"/>
        <w:pBdr/>
        <w:spacing/>
        <w:ind/>
        <w:rPr>
          <w:highlight w:val="none"/>
          <w14:ligatures w14:val="none"/>
        </w:rPr>
      </w:pPr>
      <w:r/>
      <w:bookmarkStart w:id="1" w:name="_Toc1"/>
      <w:r>
        <w:t xml:space="preserve">1. Introdução</w:t>
      </w:r>
      <w:r/>
      <w:bookmarkEnd w:id="1"/>
      <w:r/>
      <w:r>
        <w:rPr>
          <w14:ligatures w14:val="none"/>
        </w:rPr>
      </w:r>
    </w:p>
    <w:p>
      <w:pPr>
        <w:pBdr/>
        <w:spacing/>
        <w:ind w:firstLine="720"/>
        <w:rPr>
          <w:rFonts w:ascii="Readex Pro" w:hAnsi="Readex Pro" w:cs="Readex Pro"/>
        </w:rPr>
      </w:pPr>
      <w:r>
        <w:rPr>
          <w:rFonts w:ascii="Readex Pro" w:hAnsi="Readex Pro" w:eastAsia="Readex Pro" w:cs="Readex Pro"/>
        </w:rPr>
        <w:t xml:space="preserve">A BetStrike é uma empresa fictícia portuguesa de apostas desportivas online com mais de 200 000 utilizadores ativos mensais. Com o crescimento da plataforma surgiram três probl</w:t>
      </w:r>
      <w:r>
        <w:rPr>
          <w:rFonts w:ascii="Readex Pro" w:hAnsi="Readex Pro" w:eastAsia="Readex Pro" w:cs="Readex Pro"/>
        </w:rPr>
        <w:t xml:space="preserve">emas estruturais: resultados de jogos inseridos manualmente, ausência de comunicação automática entre os sistemas de apostas e de pagamentos, e resolução de apostas com latências de 15 a 30 minutos, incompatíveis com as expectativas de uma plataforma live.</w:t>
      </w:r>
      <w:r>
        <w:rPr>
          <w:rFonts w:ascii="Readex Pro" w:hAnsi="Readex Pro" w:eastAsia="Readex Pro" w:cs="Readex Pro"/>
        </w:rPr>
      </w:r>
      <w:r>
        <w:rPr>
          <w:rFonts w:ascii="Readex Pro" w:hAnsi="Readex Pro" w:cs="Readex Pro"/>
        </w:rPr>
      </w:r>
    </w:p>
    <w:p>
      <w:pPr>
        <w:pBdr/>
        <w:spacing/>
        <w:ind w:firstLine="720"/>
        <w:rPr>
          <w:rFonts w:ascii="Readex Pro" w:hAnsi="Readex Pro" w:eastAsia="Readex Pro" w:cs="Readex Pro"/>
          <w:highlight w:val="none"/>
        </w:rPr>
      </w:pPr>
      <w:r>
        <w:rPr>
          <w:rFonts w:ascii="Readex Pro" w:hAnsi="Readex Pro" w:eastAsia="Readex Pro" w:cs="Readex Pro"/>
        </w:rPr>
        <w:t xml:space="preserve">Este trabalho implementa a modernização da arquitetura em duas fases. A Parte 1 estabelece a integração REST entre os sistemas, com toda a lógica de negócio centralizada em Stored Procedures SQL Server. A Parte 2 introduz middleware de mensag</w:t>
      </w:r>
      <w:r>
        <w:rPr>
          <w:rFonts w:ascii="Readex Pro" w:hAnsi="Readex Pro" w:eastAsia="Readex Pro" w:cs="Readex Pro"/>
        </w:rPr>
        <w:t xml:space="preserve">ens (Apache Kafka e RabbitMQ) para desacoplar os sistemas, reduzir latências e suportar processamento assíncrono, complementado por um microserviço de analytics em tempo real. Toda a infraestrutura é executada em ambiente containerizado com Docker Compose.</w:t>
      </w:r>
      <w:r>
        <w:rPr>
          <w:rFonts w:ascii="Readex Pro" w:hAnsi="Readex Pro" w:cs="Readex Pro"/>
        </w:rPr>
      </w:r>
      <w:r>
        <w:rPr>
          <w:rFonts w:ascii="Readex Pro" w:hAnsi="Readex Pro" w:eastAsia="Readex Pro" w:cs="Readex Pro"/>
          <w:highlight w:val="none"/>
        </w:rPr>
      </w:r>
    </w:p>
    <w:p w14:paraId="78474347">
      <w:pPr>
        <w:pBdr/>
        <w:spacing/>
        <w:ind w:firstLine="720"/>
        <w:rPr>
          <w:rFonts w:ascii="Readex Pro" w:hAnsi="Readex Pro" w:eastAsia="Readex Pro" w:cs="Readex Pro"/>
          <w:highlight w:val="none"/>
        </w:rPr>
      </w:pPr>
      <w:r>
        <w:rPr>
          <w:rFonts w:ascii="Readex Pro" w:hAnsi="Readex Pro" w:eastAsia="Readex Pro" w:cs="Readex Pro"/>
          <w:highlight w:val="none"/>
        </w:rPr>
      </w:r>
      <w:r>
        <w:rPr>
          <w:rFonts w:ascii="Readex Pro" w:hAnsi="Readex Pro" w:eastAsia="Readex Pro" w:cs="Readex Pro"/>
          <w:highlight w:val="none"/>
        </w:rPr>
        <w:t xml:space="preserve">O</w:t>
      </w:r>
      <w:r>
        <w:rPr>
          <w:rFonts w:ascii="Readex Pro" w:hAnsi="Readex Pro" w:eastAsia="Readex Pro" w:cs="Readex Pro"/>
          <w:highlight w:val="none"/>
        </w:rPr>
        <w:t xml:space="preserve"> conjunto das duas partes resulta num sistema distribuído completo que cobre o ciclo de vida de uma aposta desportiva: desde a publicação do calendário de jogos pela Federação Portuguesa de Futebol, passando pela simulação dos resultados em tempo real, até</w:t>
      </w:r>
      <w:r>
        <w:rPr>
          <w:rFonts w:ascii="Readex Pro" w:hAnsi="Readex Pro" w:eastAsia="Readex Pro" w:cs="Readex Pro"/>
          <w:highlight w:val="none"/>
        </w:rPr>
        <w:t xml:space="preserve"> ao crédito automático de prémios e à monitorização operacional da plataforma.</w:t>
      </w:r>
      <w:r>
        <w:rPr>
          <w:rFonts w:ascii="Readex Pro" w:hAnsi="Readex Pro" w:cs="Readex Pro"/>
        </w:rPr>
      </w:r>
      <w:r>
        <w:rPr>
          <w:rFonts w:ascii="Readex Pro" w:hAnsi="Readex Pro" w:eastAsia="Readex Pro" w:cs="Readex Pro"/>
          <w:highlight w:val="none"/>
        </w:rPr>
      </w:r>
      <w:r>
        <w:rPr>
          <w:rFonts w:ascii="Readex Pro" w:hAnsi="Readex Pro" w:eastAsia="Readex Pro" w:cs="Readex Pro"/>
          <w:highlight w:val="none"/>
        </w:rPr>
        <w:br w:type="page" w:clear="all"/>
      </w:r>
      <w:r>
        <w:rPr>
          <w:rFonts w:ascii="Readex Pro" w:hAnsi="Readex Pro" w:eastAsia="Readex Pro" w:cs="Readex Pro"/>
          <w:highlight w:val="none"/>
        </w:rPr>
      </w:r>
      <w:r>
        <w:rPr>
          <w:rFonts w:ascii="Readex Pro" w:hAnsi="Readex Pro" w:cs="Readex Pro"/>
        </w:rPr>
      </w:r>
      <w:r>
        <w:rPr>
          <w:rFonts w:ascii="Readex Pro" w:hAnsi="Readex Pro" w:eastAsia="Readex Pro" w:cs="Readex Pro"/>
          <w:highlight w:val="none"/>
        </w:rPr>
      </w:r>
      <w:r>
        <w:rPr>
          <w:rFonts w:ascii="Readex Pro" w:hAnsi="Readex Pro" w:cs="Readex Pro"/>
        </w:rPr>
      </w:r>
      <w:r>
        <w:rPr>
          <w:rFonts w:ascii="Readex Pro" w:hAnsi="Readex Pro" w:eastAsia="Readex Pro" w:cs="Readex Pro"/>
          <w:highlight w:val="none"/>
        </w:rPr>
      </w:r>
      <w:r>
        <w:rPr>
          <w:rFonts w:ascii="Readex Pro" w:hAnsi="Readex Pro" w:cs="Readex Pro"/>
        </w:rPr>
      </w:r>
      <w:r>
        <w:rPr>
          <w:rFonts w:ascii="Readex Pro" w:hAnsi="Readex Pro" w:eastAsia="Readex Pro" w:cs="Readex Pro"/>
          <w:highlight w:val="none"/>
        </w:rPr>
      </w:r>
    </w:p>
    <w:p>
      <w:pPr>
        <w:pStyle w:val="885"/>
        <w:pBdr/>
        <w:spacing/>
        <w:ind/>
        <w:rPr>
          <w14:ligatures w14:val="none"/>
        </w:rPr>
      </w:pPr>
      <w:r/>
      <w:bookmarkStart w:id="2" w:name="_Toc2"/>
      <w:r>
        <w:t xml:space="preserve">2. Arquitetura da Solução</w:t>
      </w:r>
      <w:r/>
      <w:bookmarkEnd w:id="2"/>
      <w:r/>
      <w:r>
        <w:rPr>
          <w14:ligatures w14:val="none"/>
        </w:rPr>
      </w:r>
    </w:p>
    <w:p>
      <w:pPr>
        <w:pBdr/>
        <w:spacing/>
        <w:ind w:firstLine="720"/>
        <w:rPr>
          <w:rFonts w:ascii="Readex Pro" w:hAnsi="Readex Pro" w:cs="Readex Pro"/>
        </w:rPr>
      </w:pPr>
      <w:r>
        <w:rPr>
          <w:rFonts w:ascii="Readex Pro" w:hAnsi="Readex Pro" w:eastAsia="Readex Pro" w:cs="Readex Pro"/>
        </w:rPr>
        <w:t xml:space="preserve">O sistema é composto por quatro serviços de backend, uma aplicação geradora de dados, um microserviço de analytics e um frontend Angular. A comunicação usa dois paradigmas: HTTP/</w:t>
      </w:r>
      <w:r>
        <w:rPr>
          <w:rFonts w:ascii="Readex Pro" w:hAnsi="Readex Pro" w:eastAsia="Readex Pro" w:cs="Readex Pro"/>
        </w:rPr>
        <w:t xml:space="preserve">REST para operações síncronas e transacionais, e mensagens assíncronas (Kafka e RabbitMQ) para propagação de eventos e processamento diferido. As três bases de dados SQL Server são logicamente separadas, com utilizadores e permissões restritos por serviço.</w:t>
      </w:r>
      <w:r>
        <w:rPr>
          <w:rFonts w:ascii="Readex Pro" w:hAnsi="Readex Pro" w:eastAsia="Readex Pro" w:cs="Readex Pro"/>
        </w:rPr>
      </w:r>
      <w:r>
        <w:rPr>
          <w:rFonts w:ascii="Readex Pro" w:hAnsi="Readex Pro" w:cs="Readex Pro"/>
        </w:rPr>
      </w:r>
    </w:p>
    <w:tbl>
      <w:tblPr>
        <w:tblStyle w:val="945"/>
        <w:tblW w:w="0" w:type="auto"/>
        <w:tblBorders/>
        <w:tblLook w:val="04A0" w:firstRow="1" w:lastRow="0" w:firstColumn="1" w:lastColumn="0" w:noHBand="0" w:noVBand="1"/>
      </w:tblPr>
      <w:tblGrid>
        <w:gridCol w:w="3041"/>
        <w:gridCol w:w="3041"/>
        <w:gridCol w:w="3041"/>
      </w:tblGrid>
      <w:tr>
        <w:trPr>
          <w:tblHeader/>
        </w:trPr>
        <w:tc>
          <w:tcPr>
            <w:gridSpan w:val="3"/>
            <w:shd w:val="clear" w:color="f0deaf" w:fill="f0deaf"/>
            <w:tcBorders>
              <w:top w:val="single" w:color="000000" w:sz="8" w:space="0"/>
              <w:left w:val="single" w:color="000000" w:sz="8" w:space="0"/>
              <w:bottom w:val="none" w:color="000000" w:sz="4" w:space="0"/>
              <w:right w:val="single" w:color="000000" w:sz="8" w:space="0"/>
            </w:tcBorders>
            <w:tcW w:w="9123" w:type="dxa"/>
          </w:tcPr>
          <w:p>
            <w:pPr>
              <w:pBdr/>
              <w:spacing w:after="0" w:before="0"/>
              <w:ind/>
              <w:jc w:val="center"/>
              <w:rPr>
                <w:rFonts w:ascii="JetBrains Mono" w:hAnsi="JetBrains Mono" w:cs="JetBrains Mono"/>
                <w:color w:val="f4efe6"/>
                <w:sz w:val="22"/>
                <w:szCs w:val="22"/>
              </w:rPr>
            </w:pPr>
            <w:r>
              <w:rPr>
                <w:rFonts w:ascii="JetBrains Mono" w:hAnsi="JetBrains Mono" w:eastAsia="JetBrains Mono" w:cs="JetBrains Mono"/>
                <w:b/>
                <w:sz w:val="18"/>
                <w:szCs w:val="22"/>
              </w:rPr>
              <w:t xml:space="preserve">SISTEMA DA FPF</w:t>
            </w:r>
            <w:r>
              <w:rPr>
                <w:rFonts w:ascii="JetBrains Mono" w:hAnsi="JetBrains Mono" w:eastAsia="JetBrains Mono" w:cs="JetBrains Mono"/>
                <w:color w:val="f4efe6"/>
                <w:sz w:val="22"/>
                <w:szCs w:val="22"/>
              </w:rPr>
            </w:r>
            <w:r>
              <w:rPr>
                <w:rFonts w:ascii="JetBrains Mono" w:hAnsi="JetBrains Mono" w:eastAsia="JetBrains Mono" w:cs="JetBrains Mono"/>
                <w:color w:val="f4efe6"/>
                <w:sz w:val="22"/>
                <w:szCs w:val="22"/>
              </w:rPr>
            </w:r>
          </w:p>
        </w:tc>
      </w:tr>
      <w:tr>
        <w:trPr/>
        <w:tc>
          <w:tcPr>
            <w:shd w:val="clear" w:color="auto" w:fill="ffffff"/>
            <w:tcBorders>
              <w:top w:val="none" w:color="000000" w:sz="4" w:space="0"/>
              <w:left w:val="single" w:color="000000" w:sz="8" w:space="0"/>
              <w:bottom w:val="single" w:color="000000" w:sz="8" w:space="0"/>
              <w:right w:val="none" w:color="000000" w:sz="4" w:space="0"/>
            </w:tcBorders>
            <w:tcW w:w="3041" w:type="dxa"/>
            <w:vAlign w:val="center"/>
          </w:tcPr>
          <w:p>
            <w:pPr>
              <w:pBdr/>
              <w:spacing w:after="0" w:before="0"/>
              <w:ind w:firstLine="0"/>
              <w:rPr>
                <w:rFonts w:ascii="JetBrains Mono" w:hAnsi="JetBrains Mono" w:cs="JetBrains Mono"/>
                <w:b/>
                <w:bCs/>
              </w:rPr>
            </w:pPr>
            <w:r>
              <w:rPr>
                <w:rFonts w:ascii="JetBrains Mono" w:hAnsi="JetBrains Mono" w:eastAsia="JetBrains Mono" w:cs="JetBrains Mono"/>
                <w:b/>
                <w:bCs/>
                <w:sz w:val="18"/>
              </w:rPr>
              <w:t xml:space="preserve">GeradorDados (5300)</w:t>
            </w:r>
            <w:r>
              <w:rPr>
                <w:rFonts w:ascii="JetBrains Mono" w:hAnsi="JetBrains Mono" w:eastAsia="JetBrains Mono" w:cs="JetBrains Mono"/>
                <w:b/>
                <w:bCs/>
              </w:rPr>
            </w:r>
            <w:r>
              <w:rPr>
                <w:rFonts w:ascii="JetBrains Mono" w:hAnsi="JetBrains Mono" w:eastAsia="JetBrains Mono" w:cs="JetBrains Mono"/>
                <w:b/>
                <w:bCs/>
              </w:rPr>
            </w:r>
          </w:p>
        </w:tc>
        <w:tc>
          <w:tcPr>
            <w:shd w:val="clear" w:color="auto" w:fill="ffffff"/>
            <w:tcBorders>
              <w:top w:val="none" w:color="000000" w:sz="4" w:space="0"/>
              <w:left w:val="none" w:color="000000" w:sz="4" w:space="0"/>
              <w:bottom w:val="single" w:color="000000" w:sz="8" w:space="0"/>
              <w:right w:val="none" w:color="000000" w:sz="4" w:space="0"/>
            </w:tcBorders>
            <w:tcW w:w="3041" w:type="dxa"/>
            <w:vAlign w:val="center"/>
          </w:tcPr>
          <w:p>
            <w:pPr>
              <w:pBdr/>
              <w:spacing w:after="0" w:before="0"/>
              <w:ind w:firstLine="0"/>
              <w:jc w:val="left"/>
              <w:rPr>
                <w:rFonts w:ascii="JetBrains Mono" w:hAnsi="JetBrains Mono" w:cs="JetBrains Mono"/>
              </w:rPr>
            </w:pPr>
            <w:r>
              <w:rPr>
                <w:rFonts w:ascii="JetBrains Mono" w:hAnsi="JetBrains Mono" w:eastAsia="JetBrains Mono" w:cs="JetBrains Mono"/>
                <w:sz w:val="18"/>
              </w:rPr>
              <w:t xml:space="preserve">──</w:t>
            </w:r>
            <w:r>
              <w:rPr>
                <w:rFonts w:ascii="JetBrains Mono" w:hAnsi="JetBrains Mono" w:eastAsia="JetBrains Mono" w:cs="JetBrains Mono"/>
                <w:sz w:val="18"/>
                <w:lang w:val="pt-BR"/>
              </w:rPr>
              <w:t xml:space="preserve">  </w:t>
            </w:r>
            <w:r>
              <w:rPr>
                <w:rFonts w:ascii="JetBrains Mono" w:hAnsi="JetBrains Mono" w:eastAsia="JetBrains Mono" w:cs="JetBrains Mono"/>
                <w:sz w:val="18"/>
              </w:rPr>
              <w:t xml:space="preserve">HTTP</w:t>
            </w:r>
            <w:r>
              <w:rPr>
                <w:rFonts w:ascii="JetBrains Mono" w:hAnsi="JetBrains Mono" w:eastAsia="JetBrains Mono" w:cs="JetBrains Mono"/>
                <w:sz w:val="18"/>
                <w:lang w:val="pt-BR"/>
              </w:rPr>
              <w:t xml:space="preserve"> </w:t>
            </w:r>
            <w:r>
              <w:rPr>
                <w:rFonts w:ascii="JetBrains Mono" w:hAnsi="JetBrains Mono" w:eastAsia="JetBrains Mono" w:cs="JetBrains Mono"/>
                <w:sz w:val="18"/>
              </w:rPr>
              <w:t xml:space="preserve">+</w:t>
            </w:r>
            <w:r>
              <w:rPr>
                <w:rFonts w:ascii="JetBrains Mono" w:hAnsi="JetBrains Mono" w:eastAsia="JetBrains Mono" w:cs="JetBrains Mono"/>
                <w:sz w:val="18"/>
                <w:lang w:val="pt-BR"/>
              </w:rPr>
              <w:t xml:space="preserve"> </w:t>
            </w:r>
            <w:r>
              <w:rPr>
                <w:rFonts w:ascii="JetBrains Mono" w:hAnsi="JetBrains Mono" w:eastAsia="JetBrains Mono" w:cs="JetBrains Mono"/>
                <w:sz w:val="18"/>
              </w:rPr>
              <w:t xml:space="preserve">X-API-Key</w:t>
            </w:r>
            <w:r>
              <w:rPr>
                <w:rFonts w:ascii="JetBrains Mono" w:hAnsi="JetBrains Mono" w:eastAsia="JetBrains Mono" w:cs="JetBrains Mono"/>
                <w:sz w:val="18"/>
                <w:lang w:val="pt-BR"/>
              </w:rPr>
              <w:t xml:space="preserve">  </w:t>
            </w:r>
            <w:r>
              <w:rPr>
                <w:rFonts w:ascii="JetBrains Mono" w:hAnsi="JetBrains Mono" w:eastAsia="JetBrains Mono" w:cs="JetBrains Mono"/>
                <w:sz w:val="18"/>
              </w:rPr>
              <w:t xml:space="preserve">──▶</w:t>
            </w:r>
            <w:r>
              <w:rPr>
                <w:rFonts w:ascii="JetBrains Mono" w:hAnsi="JetBrains Mono" w:eastAsia="JetBrains Mono" w:cs="JetBrains Mono"/>
              </w:rPr>
            </w:r>
            <w:r>
              <w:rPr>
                <w:rFonts w:ascii="JetBrains Mono" w:hAnsi="JetBrains Mono" w:eastAsia="JetBrains Mono" w:cs="JetBrains Mono"/>
              </w:rPr>
            </w:r>
          </w:p>
        </w:tc>
        <w:tc>
          <w:tcPr>
            <w:shd w:val="clear" w:color="auto" w:fill="ffffff"/>
            <w:tcBorders>
              <w:top w:val="none" w:color="000000" w:sz="4" w:space="0"/>
              <w:left w:val="none" w:color="000000" w:sz="4" w:space="0"/>
              <w:bottom w:val="single" w:color="000000" w:sz="8" w:space="0"/>
              <w:right w:val="single" w:color="000000" w:sz="8" w:space="0"/>
            </w:tcBorders>
            <w:tcW w:w="3041" w:type="dxa"/>
          </w:tcPr>
          <w:p>
            <w:pPr>
              <w:pBdr/>
              <w:spacing w:after="0" w:before="0"/>
              <w:ind w:firstLine="0"/>
              <w:rPr>
                <w:rFonts w:ascii="JetBrains Mono" w:hAnsi="JetBrains Mono" w:cs="JetBrains Mono"/>
                <w:b/>
                <w:bCs/>
              </w:rPr>
            </w:pPr>
            <w:r>
              <w:rPr>
                <w:rFonts w:ascii="JetBrains Mono" w:hAnsi="JetBrains Mono" w:eastAsia="JetBrains Mono" w:cs="JetBrains Mono"/>
                <w:b/>
                <w:bCs/>
                <w:sz w:val="18"/>
              </w:rPr>
              <w:t xml:space="preserve">ApiResultados (5204)</w:t>
            </w:r>
            <w:r>
              <w:rPr>
                <w:rFonts w:ascii="JetBrains Mono" w:hAnsi="JetBrains Mono" w:eastAsia="JetBrains Mono" w:cs="JetBrains Mono"/>
                <w:b/>
                <w:bCs/>
              </w:rPr>
            </w:r>
            <w:r>
              <w:rPr>
                <w:rFonts w:ascii="JetBrains Mono" w:hAnsi="JetBrains Mono" w:eastAsia="JetBrains Mono" w:cs="JetBrains Mono"/>
                <w:b/>
                <w:bCs/>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BD: resultados</w:t>
            </w:r>
            <w:r>
              <w:rPr>
                <w:rFonts w:ascii="JetBrains Mono" w:hAnsi="JetBrains Mono" w:eastAsia="JetBrains Mono" w:cs="JetBrains Mono"/>
              </w:rPr>
            </w:r>
            <w:r>
              <w:rPr>
                <w:rFonts w:ascii="JetBrains Mono" w:hAnsi="JetBrains Mono" w:eastAsia="JetBrains Mono" w:cs="JetBrains Mono"/>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publica Kafka</w:t>
            </w:r>
            <w:r>
              <w:rPr>
                <w:rFonts w:ascii="JetBrains Mono" w:hAnsi="JetBrains Mono" w:eastAsia="JetBrains Mono" w:cs="JetBrains Mono"/>
              </w:rPr>
            </w:r>
            <w:r>
              <w:rPr>
                <w:rFonts w:ascii="JetBrains Mono" w:hAnsi="JetBrains Mono" w:eastAsia="JetBrains Mono" w:cs="JetBrains Mono"/>
              </w:rPr>
            </w:r>
          </w:p>
        </w:tc>
      </w:tr>
    </w:tbl>
    <w:p>
      <w:pPr>
        <w:pBdr/>
        <w:spacing w:after="40" w:before="40" w:line="240" w:lineRule="auto"/>
        <w:ind w:firstLine="0" w:left="0"/>
        <w:jc w:val="right"/>
        <w:rPr>
          <w:rFonts w:ascii="JetBrains Mono" w:hAnsi="JetBrains Mono" w:cs="JetBrains Mono"/>
          <w:color w:val="ad8638"/>
          <w:sz w:val="20"/>
          <w:szCs w:val="20"/>
        </w:rPr>
      </w:pP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b/>
          <w:bCs/>
          <w:color w:val="ad8638"/>
          <w:sz w:val="20"/>
          <w:highlight w:val="none"/>
        </w:rPr>
        <w:t xml:space="preserve">┘</w:t>
        <w:tab/>
        <w:tab/>
        <w:tab/>
      </w:r>
      <w:r>
        <w:rPr>
          <w:rFonts w:ascii="JetBrains Mono" w:hAnsi="JetBrains Mono" w:eastAsia="JetBrains Mono" w:cs="JetBrains Mono"/>
          <w:color w:val="ad8638"/>
          <w:sz w:val="20"/>
          <w:szCs w:val="20"/>
          <w:highlight w:val="none"/>
        </w:rPr>
      </w:r>
      <w:r>
        <w:rPr>
          <w:rFonts w:ascii="JetBrains Mono" w:hAnsi="JetBrains Mono" w:eastAsia="JetBrains Mono" w:cs="JetBrains Mono"/>
          <w:color w:val="ad8638"/>
          <w:sz w:val="20"/>
          <w:szCs w:val="20"/>
        </w:rPr>
      </w:r>
    </w:p>
    <w:p w14:paraId="39D28D7B">
      <w:pPr>
        <w:pBdr/>
        <w:spacing w:after="40" w:before="40" w:line="240" w:lineRule="auto"/>
        <w:ind/>
        <w:jc w:val="center"/>
        <w:rPr>
          <w:rFonts w:ascii="JetBrains Mono" w:hAnsi="JetBrains Mono" w:cs="JetBrains Mono"/>
          <w:color w:val="ad8638"/>
          <w:sz w:val="20"/>
          <w:szCs w:val="20"/>
          <w:highlight w:val="none"/>
        </w:rPr>
      </w:pPr>
      <w:r>
        <w:rPr>
          <w:rFonts w:ascii="JetBrains Mono" w:hAnsi="JetBrains Mono" w:eastAsia="JetBrains Mono" w:cs="JetBrains Mono"/>
          <w:color w:val="ad8638"/>
          <w:sz w:val="20"/>
          <w:lang w:val="pt-BR"/>
        </w:rPr>
        <w:t xml:space="preserve"> </w:t>
      </w:r>
      <w:r>
        <w:rPr>
          <w:rFonts w:ascii="JetBrains Mono" w:hAnsi="JetBrains Mono" w:eastAsia="JetBrains Mono" w:cs="JetBrains Mono"/>
          <w:b/>
          <w:bCs/>
          <w:color w:val="ad8638"/>
          <w:sz w:val="20"/>
        </w:rPr>
        <w:t xml:space="preserve">[Kafka: game-events]</w:t>
      </w:r>
      <w:r>
        <w:rPr>
          <w:rFonts w:ascii="JetBrains Mono" w:hAnsi="JetBrains Mono" w:eastAsia="JetBrains Mono" w:cs="JetBrains Mono"/>
          <w:color w:val="ad8638"/>
        </w:rPr>
      </w:r>
      <w:r>
        <w:rPr>
          <w:rFonts w:ascii="JetBrains Mono" w:hAnsi="JetBrains Mono" w:eastAsia="JetBrains Mono" w:cs="JetBrains Mono"/>
          <w:color w:val="ad8638"/>
          <w:sz w:val="20"/>
          <w:szCs w:val="20"/>
          <w:highlight w:val="none"/>
        </w:rPr>
      </w:r>
    </w:p>
    <w:p w14:paraId="3CF73935">
      <w:pPr>
        <w:pBdr/>
        <w:spacing w:after="40" w:before="40" w:line="240" w:lineRule="auto"/>
        <w:ind/>
        <w:jc w:val="center"/>
        <w:rPr>
          <w:rFonts w:ascii="JetBrains Mono" w:hAnsi="JetBrains Mono" w:cs="JetBrains Mono"/>
          <w:color w:val="ad8638"/>
        </w:rPr>
      </w:pP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color w:val="ad8638"/>
          <w:sz w:val="20"/>
          <w:highlight w:val="none"/>
        </w:rPr>
      </w:r>
      <w:r>
        <w:rPr>
          <w:rFonts w:ascii="JetBrains Mono" w:hAnsi="JetBrains Mono" w:eastAsia="JetBrains Mono" w:cs="JetBrains Mono"/>
          <w:color w:val="ad8638"/>
        </w:rPr>
      </w:r>
    </w:p>
    <w:tbl>
      <w:tblPr>
        <w:tblStyle w:val="945"/>
        <w:tblW w:w="0" w:type="auto"/>
        <w:tblBorders/>
        <w:tblLook w:val="04A0" w:firstRow="1" w:lastRow="0" w:firstColumn="1" w:lastColumn="0" w:noHBand="0" w:noVBand="1"/>
      </w:tblPr>
      <w:tblGrid>
        <w:gridCol w:w="3041"/>
        <w:gridCol w:w="3041"/>
        <w:gridCol w:w="3041"/>
      </w:tblGrid>
      <w:tr>
        <w:trPr/>
        <w:tc>
          <w:tcPr>
            <w:shd w:val="clear" w:color="auto" w:fill="ffffff"/>
            <w:tcBorders>
              <w:top w:val="single" w:color="000000" w:sz="8" w:space="0"/>
              <w:left w:val="single" w:color="000000" w:sz="8" w:space="0"/>
              <w:bottom w:val="single" w:color="000000" w:sz="8" w:space="0"/>
              <w:right w:val="single" w:color="000000" w:sz="8" w:space="0"/>
            </w:tcBorders>
            <w:tcMar>
              <w:left w:w="120" w:type="dxa"/>
              <w:top w:w="60" w:type="dxa"/>
              <w:right w:w="60" w:type="dxa"/>
              <w:bottom w:w="60" w:type="dxa"/>
            </w:tcMar>
            <w:tcW w:w="3041" w:type="dxa"/>
          </w:tcPr>
          <w:p>
            <w:pPr>
              <w:pBdr/>
              <w:spacing w:after="0" w:before="0"/>
              <w:ind w:firstLine="0"/>
              <w:rPr>
                <w:rFonts w:ascii="JetBrains Mono" w:hAnsi="JetBrains Mono" w:cs="JetBrains Mono"/>
                <w:b/>
                <w:bCs/>
              </w:rPr>
            </w:pPr>
            <w:r>
              <w:rPr>
                <w:rFonts w:ascii="JetBrains Mono" w:hAnsi="JetBrains Mono" w:eastAsia="JetBrains Mono" w:cs="JetBrains Mono"/>
                <w:b/>
                <w:bCs/>
                <w:sz w:val="18"/>
              </w:rPr>
              <w:t xml:space="preserve">ApiApostas (5141)</w:t>
            </w:r>
            <w:r>
              <w:rPr>
                <w:rFonts w:ascii="JetBrains Mono" w:hAnsi="JetBrains Mono" w:eastAsia="JetBrains Mono" w:cs="JetBrains Mono"/>
                <w:b/>
                <w:bCs/>
              </w:rPr>
            </w:r>
            <w:r>
              <w:rPr>
                <w:rFonts w:ascii="JetBrains Mono" w:hAnsi="JetBrains Mono" w:eastAsia="JetBrains Mono" w:cs="JetBrains Mono"/>
                <w:b/>
                <w:bCs/>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BD: apostas</w:t>
            </w:r>
            <w:r>
              <w:rPr>
                <w:rFonts w:ascii="JetBrains Mono" w:hAnsi="JetBrains Mono" w:eastAsia="JetBrains Mono" w:cs="JetBrains Mono"/>
              </w:rPr>
            </w:r>
            <w:r>
              <w:rPr>
                <w:rFonts w:ascii="JetBrains Mono" w:hAnsi="JetBrains Mono" w:eastAsia="JetBrains Mono" w:cs="JetBrains Mono"/>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KafkaConsumerService</w:t>
            </w:r>
            <w:r>
              <w:rPr>
                <w:rFonts w:ascii="JetBrains Mono" w:hAnsi="JetBrains Mono" w:eastAsia="JetBrains Mono" w:cs="JetBrains Mono"/>
              </w:rPr>
            </w:r>
            <w:r>
              <w:rPr>
                <w:rFonts w:ascii="JetBrains Mono" w:hAnsi="JetBrains Mono" w:eastAsia="JetBrains Mono" w:cs="JetBrains Mono"/>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 RabbitMQ (terminal)</w:t>
            </w:r>
            <w:r>
              <w:rPr>
                <w:rFonts w:ascii="JetBrains Mono" w:hAnsi="JetBrains Mono" w:eastAsia="JetBrains Mono" w:cs="JetBrains Mono"/>
              </w:rPr>
            </w:r>
            <w:r>
              <w:rPr>
                <w:rFonts w:ascii="JetBrains Mono" w:hAnsi="JetBrains Mono" w:eastAsia="JetBrains Mono" w:cs="JetBrains Mono"/>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BetResolutionWorker</w:t>
            </w:r>
            <w:r>
              <w:rPr>
                <w:rFonts w:ascii="JetBrains Mono" w:hAnsi="JetBrains Mono" w:eastAsia="JetBrains Mono" w:cs="JetBrains Mono"/>
              </w:rPr>
            </w:r>
            <w:r>
              <w:rPr>
                <w:rFonts w:ascii="JetBrains Mono" w:hAnsi="JetBrains Mono" w:eastAsia="JetBrains Mono" w:cs="JetBrains Mono"/>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PendingBetsSweeper</w:t>
            </w:r>
            <w:r>
              <w:rPr>
                <w:rFonts w:ascii="JetBrains Mono" w:hAnsi="JetBrains Mono" w:eastAsia="JetBrains Mono" w:cs="JetBrains Mono"/>
              </w:rPr>
            </w:r>
            <w:r>
              <w:rPr>
                <w:rFonts w:ascii="JetBrains Mono" w:hAnsi="JetBrains Mono" w:eastAsia="JetBrains Mono" w:cs="JetBrains Mono"/>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publica bet-events</w:t>
            </w:r>
            <w:r>
              <w:rPr>
                <w:rFonts w:ascii="JetBrains Mono" w:hAnsi="JetBrains Mono" w:eastAsia="JetBrains Mono" w:cs="JetBrains Mono"/>
              </w:rPr>
            </w:r>
            <w:r>
              <w:rPr>
                <w:rFonts w:ascii="JetBrains Mono" w:hAnsi="JetBrains Mono" w:eastAsia="JetBrains Mono" w:cs="JetBrains Mono"/>
              </w:rPr>
            </w:r>
          </w:p>
        </w:tc>
        <w:tc>
          <w:tcPr>
            <w:shd w:val="clear" w:color="auto" w:fill="ffffff"/>
            <w:tcBorders>
              <w:top w:val="none" w:color="000000" w:sz="4" w:space="0"/>
              <w:left w:val="none" w:color="000000" w:sz="4" w:space="0"/>
              <w:bottom w:val="none" w:color="000000" w:sz="4" w:space="0"/>
              <w:right w:val="none" w:color="000000" w:sz="4" w:space="0"/>
            </w:tcBorders>
            <w:tcW w:w="3041" w:type="dxa"/>
          </w:tcPr>
          <w:p>
            <w:pPr>
              <w:pBdr/>
              <w:spacing w:after="0" w:before="0"/>
              <w:ind/>
              <w:rPr>
                <w:rFonts w:ascii="JetBrains Mono" w:hAnsi="JetBrains Mono" w:cs="JetBrains Mono"/>
              </w:rPr>
            </w:pPr>
            <w:r>
              <w:rPr>
                <w:rFonts w:ascii="JetBrains Mono" w:hAnsi="JetBrains Mono" w:eastAsia="JetBrains Mono" w:cs="JetBrains Mono"/>
                <w:sz w:val="18"/>
              </w:rPr>
            </w:r>
            <w:r>
              <w:rPr>
                <w:rFonts w:ascii="JetBrains Mono" w:hAnsi="JetBrains Mono" w:eastAsia="JetBrains Mono" w:cs="JetBrains Mono"/>
              </w:rPr>
            </w:r>
            <w:r>
              <w:rPr>
                <w:rFonts w:ascii="JetBrains Mono" w:hAnsi="JetBrains Mono" w:eastAsia="JetBrains Mono" w:cs="JetBrains Mono"/>
              </w:rPr>
            </w:r>
          </w:p>
        </w:tc>
        <w:tc>
          <w:tcPr>
            <w:shd w:val="clear" w:color="auto" w:fill="ffffff"/>
            <w:tcBorders>
              <w:top w:val="single" w:color="000000" w:sz="8" w:space="0"/>
              <w:left w:val="single" w:color="000000" w:sz="8" w:space="0"/>
              <w:bottom w:val="single" w:color="000000" w:sz="8" w:space="0"/>
              <w:right w:val="single" w:color="000000" w:sz="8" w:space="0"/>
            </w:tcBorders>
            <w:tcMar>
              <w:left w:w="120" w:type="dxa"/>
              <w:top w:w="60" w:type="dxa"/>
              <w:right w:w="120" w:type="dxa"/>
              <w:bottom w:w="60" w:type="dxa"/>
            </w:tcMar>
            <w:tcW w:w="3041" w:type="dxa"/>
          </w:tcPr>
          <w:p>
            <w:pPr>
              <w:pBdr/>
              <w:spacing w:after="0" w:before="0"/>
              <w:ind w:firstLine="0"/>
              <w:rPr>
                <w:rFonts w:ascii="JetBrains Mono" w:hAnsi="JetBrains Mono" w:cs="JetBrains Mono"/>
                <w:b/>
                <w:bCs/>
              </w:rPr>
            </w:pPr>
            <w:r>
              <w:rPr>
                <w:rFonts w:ascii="JetBrains Mono" w:hAnsi="JetBrains Mono" w:eastAsia="JetBrains Mono" w:cs="JetBrains Mono"/>
                <w:b/>
                <w:bCs/>
                <w:sz w:val="18"/>
              </w:rPr>
              <w:t xml:space="preserve">AnalyticsService (5400)</w:t>
            </w:r>
            <w:r>
              <w:rPr>
                <w:rFonts w:ascii="JetBrains Mono" w:hAnsi="JetBrains Mono" w:eastAsia="JetBrains Mono" w:cs="JetBrains Mono"/>
                <w:b/>
                <w:bCs/>
              </w:rPr>
            </w:r>
            <w:r>
              <w:rPr>
                <w:rFonts w:ascii="JetBrains Mono" w:hAnsi="JetBrains Mono" w:eastAsia="JetBrains Mono" w:cs="JetBrains Mono"/>
                <w:b/>
                <w:bCs/>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métricas in-memory</w:t>
            </w:r>
            <w:r>
              <w:rPr>
                <w:rFonts w:ascii="JetBrains Mono" w:hAnsi="JetBrains Mono" w:eastAsia="JetBrains Mono" w:cs="JetBrains Mono"/>
              </w:rPr>
            </w:r>
            <w:r>
              <w:rPr>
                <w:rFonts w:ascii="JetBrains Mono" w:hAnsi="JetBrains Mono" w:eastAsia="JetBrains Mono" w:cs="JetBrains Mono"/>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alertas automáticos</w:t>
            </w:r>
            <w:r>
              <w:rPr>
                <w:rFonts w:ascii="JetBrains Mono" w:hAnsi="JetBrains Mono" w:eastAsia="JetBrains Mono" w:cs="JetBrains Mono"/>
              </w:rPr>
            </w:r>
            <w:r>
              <w:rPr>
                <w:rFonts w:ascii="JetBrains Mono" w:hAnsi="JetBrains Mono" w:eastAsia="JetBrains Mono" w:cs="JetBrains Mono"/>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persiste JSON</w:t>
            </w:r>
            <w:r>
              <w:rPr>
                <w:rFonts w:ascii="JetBrains Mono" w:hAnsi="JetBrains Mono" w:eastAsia="JetBrains Mono" w:cs="JetBrains Mono"/>
              </w:rPr>
            </w:r>
            <w:r>
              <w:rPr>
                <w:rFonts w:ascii="JetBrains Mono" w:hAnsi="JetBrains Mono" w:eastAsia="JetBrains Mono" w:cs="JetBrains Mono"/>
              </w:rPr>
            </w:r>
          </w:p>
        </w:tc>
      </w:tr>
    </w:tbl>
    <w:p w14:paraId="5F1F9473">
      <w:pPr>
        <w:pBdr/>
        <w:spacing w:after="40" w:before="40" w:line="240" w:lineRule="auto"/>
        <w:ind/>
        <w:jc w:val="center"/>
        <w:rPr>
          <w:rFonts w:ascii="JetBrains Mono" w:hAnsi="JetBrains Mono" w:cs="JetBrains Mono"/>
          <w:color w:val="ad8638"/>
        </w:rPr>
      </w:pPr>
      <w:r>
        <w:rPr>
          <w:rFonts w:ascii="JetBrains Mono" w:hAnsi="JetBrains Mono" w:eastAsia="JetBrains Mono" w:cs="JetBrains Mono"/>
          <w:b/>
          <w:bCs/>
          <w:color w:val="ad8638"/>
          <w:sz w:val="20"/>
          <w:highlight w:val="none"/>
        </w:rPr>
        <w:t xml:space="preserve">└</w:t>
      </w: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b/>
          <w:bCs/>
          <w:color w:val="ad8638"/>
          <w:sz w:val="20"/>
          <w:highlight w:val="none"/>
        </w:rPr>
        <w:t xml:space="preserve">┘</w:t>
      </w:r>
      <w:r>
        <w:rPr>
          <w:rFonts w:ascii="JetBrains Mono" w:hAnsi="JetBrains Mono" w:eastAsia="JetBrains Mono" w:cs="JetBrains Mono"/>
          <w:color w:val="ad8638"/>
        </w:rPr>
      </w:r>
      <w:r>
        <w:rPr>
          <w:rFonts w:ascii="JetBrains Mono" w:hAnsi="JetBrains Mono" w:eastAsia="JetBrains Mono" w:cs="JetBrains Mono"/>
          <w:color w:val="ad8638"/>
        </w:rPr>
      </w:r>
    </w:p>
    <w:p>
      <w:pPr>
        <w:pBdr/>
        <w:spacing w:after="40" w:before="40" w:line="240" w:lineRule="auto"/>
        <w:ind/>
        <w:jc w:val="center"/>
        <w:rPr>
          <w:rFonts w:ascii="JetBrains Mono" w:hAnsi="JetBrains Mono" w:cs="JetBrains Mono"/>
          <w:b/>
          <w:bCs/>
          <w:color w:val="ad8638"/>
          <w:sz w:val="20"/>
          <w:szCs w:val="20"/>
          <w:highlight w:val="none"/>
        </w:rPr>
      </w:pPr>
      <w:r>
        <w:rPr>
          <w:rFonts w:ascii="JetBrains Mono" w:hAnsi="JetBrains Mono" w:eastAsia="JetBrains Mono" w:cs="JetBrains Mono"/>
          <w:b/>
          <w:bCs/>
          <w:color w:val="ad8638"/>
          <w:sz w:val="20"/>
          <w:lang w:val="pt-BR"/>
        </w:rPr>
        <w:t xml:space="preserve"> </w:t>
      </w:r>
      <w:r>
        <w:rPr>
          <w:rFonts w:ascii="JetBrains Mono" w:hAnsi="JetBrains Mono" w:eastAsia="JetBrains Mono" w:cs="JetBrains Mono"/>
          <w:b/>
          <w:bCs/>
          <w:color w:val="ad8638"/>
          <w:sz w:val="20"/>
        </w:rPr>
        <w:t xml:space="preserve">HTTP interno (InternalKey)</w:t>
      </w:r>
      <w:r>
        <w:rPr>
          <w:rFonts w:ascii="JetBrains Mono" w:hAnsi="JetBrains Mono" w:eastAsia="JetBrains Mono" w:cs="JetBrains Mono"/>
          <w:color w:val="ad8638"/>
          <w:sz w:val="20"/>
          <w:szCs w:val="20"/>
          <w:highlight w:val="none"/>
        </w:rPr>
      </w:r>
      <w:r>
        <w:rPr>
          <w:rFonts w:ascii="JetBrains Mono" w:hAnsi="JetBrains Mono" w:eastAsia="JetBrains Mono" w:cs="JetBrains Mono"/>
          <w:b/>
          <w:bCs/>
          <w:color w:val="ad8638"/>
          <w:sz w:val="20"/>
          <w:szCs w:val="20"/>
          <w:highlight w:val="none"/>
        </w:rPr>
      </w:r>
    </w:p>
    <w:p w14:paraId="0472E5B1">
      <w:pPr>
        <w:pBdr/>
        <w:spacing w:after="40" w:before="40" w:line="240" w:lineRule="auto"/>
        <w:ind/>
        <w:jc w:val="center"/>
        <w:rPr>
          <w:rFonts w:ascii="JetBrains Mono" w:hAnsi="JetBrains Mono" w:cs="JetBrains Mono"/>
          <w:color w:val="ad8638"/>
        </w:rPr>
      </w:pP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color w:val="ad8638"/>
          <w:sz w:val="20"/>
          <w:highlight w:val="none"/>
        </w:rPr>
        <w:t xml:space="preserve">────────────────────┐</w:t>
      </w:r>
      <w:r>
        <w:rPr>
          <w:rFonts w:ascii="JetBrains Mono" w:hAnsi="JetBrains Mono" w:eastAsia="JetBrains Mono" w:cs="JetBrains Mono"/>
          <w:color w:val="ad8638"/>
        </w:rPr>
      </w:r>
      <w:r>
        <w:rPr>
          <w:rFonts w:ascii="JetBrains Mono" w:hAnsi="JetBrains Mono" w:eastAsia="JetBrains Mono" w:cs="JetBrains Mono"/>
          <w:color w:val="ad8638"/>
        </w:rPr>
      </w:r>
    </w:p>
    <w:tbl>
      <w:tblPr>
        <w:tblStyle w:val="945"/>
        <w:tblW w:w="0" w:type="auto"/>
        <w:tblBorders/>
        <w:tblLook w:val="04A0" w:firstRow="1" w:lastRow="0" w:firstColumn="1" w:lastColumn="0" w:noHBand="0" w:noVBand="1"/>
      </w:tblPr>
      <w:tblGrid>
        <w:gridCol w:w="3041"/>
        <w:gridCol w:w="3041"/>
        <w:gridCol w:w="3041"/>
      </w:tblGrid>
      <w:tr>
        <w:trPr/>
        <w:tc>
          <w:tcPr>
            <w:shd w:val="clear" w:color="auto" w:fill="ffffff"/>
            <w:tcBorders>
              <w:top w:val="single" w:color="000000" w:sz="8" w:space="0"/>
              <w:left w:val="single" w:color="000000" w:sz="8" w:space="0"/>
              <w:bottom w:val="single" w:color="000000" w:sz="8" w:space="0"/>
              <w:right w:val="single" w:color="000000" w:sz="8" w:space="0"/>
            </w:tcBorders>
            <w:tcMar>
              <w:left w:w="120" w:type="dxa"/>
              <w:top w:w="60" w:type="dxa"/>
              <w:right w:w="60" w:type="dxa"/>
              <w:bottom w:w="60" w:type="dxa"/>
            </w:tcMar>
            <w:tcW w:w="3041" w:type="dxa"/>
          </w:tcPr>
          <w:p>
            <w:pPr>
              <w:pBdr/>
              <w:spacing w:after="0" w:before="0"/>
              <w:ind w:firstLine="0"/>
              <w:rPr>
                <w:rFonts w:ascii="JetBrains Mono" w:hAnsi="JetBrains Mono" w:cs="JetBrains Mono"/>
                <w:b/>
                <w:bCs/>
              </w:rPr>
            </w:pPr>
            <w:r>
              <w:rPr>
                <w:rFonts w:ascii="JetBrains Mono" w:hAnsi="JetBrains Mono" w:eastAsia="JetBrains Mono" w:cs="JetBrains Mono"/>
                <w:b/>
                <w:bCs/>
                <w:sz w:val="18"/>
              </w:rPr>
              <w:t xml:space="preserve">ApiPagamentos (5232)</w:t>
            </w:r>
            <w:r>
              <w:rPr>
                <w:rFonts w:ascii="JetBrains Mono" w:hAnsi="JetBrains Mono" w:eastAsia="JetBrains Mono" w:cs="JetBrains Mono"/>
                <w:b/>
                <w:bCs/>
              </w:rPr>
            </w:r>
            <w:r>
              <w:rPr>
                <w:rFonts w:ascii="JetBrains Mono" w:hAnsi="JetBrains Mono" w:eastAsia="JetBrains Mono" w:cs="JetBrains Mono"/>
                <w:b/>
                <w:bCs/>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BD: pagamentos</w:t>
            </w:r>
            <w:r>
              <w:rPr>
                <w:rFonts w:ascii="JetBrains Mono" w:hAnsi="JetBrains Mono" w:eastAsia="JetBrains Mono" w:cs="JetBrains Mono"/>
              </w:rPr>
            </w:r>
            <w:r>
              <w:rPr>
                <w:rFonts w:ascii="JetBrains Mono" w:hAnsi="JetBrains Mono" w:eastAsia="JetBrains Mono" w:cs="JetBrains Mono"/>
              </w:rPr>
            </w:r>
          </w:p>
        </w:tc>
        <w:tc>
          <w:tcPr>
            <w:shd w:val="clear" w:color="auto" w:fill="ffffff"/>
            <w:tcBorders>
              <w:top w:val="none" w:color="000000" w:sz="4" w:space="0"/>
              <w:left w:val="none" w:color="000000" w:sz="4" w:space="0"/>
              <w:bottom w:val="none" w:color="000000" w:sz="4" w:space="0"/>
              <w:right w:val="none" w:color="000000" w:sz="4" w:space="0"/>
            </w:tcBorders>
            <w:tcW w:w="3041" w:type="dxa"/>
          </w:tcPr>
          <w:p>
            <w:pPr>
              <w:pBdr/>
              <w:spacing w:after="0" w:before="0"/>
              <w:ind/>
              <w:rPr>
                <w:rFonts w:ascii="JetBrains Mono" w:hAnsi="JetBrains Mono" w:cs="JetBrains Mono"/>
              </w:rPr>
            </w:pPr>
            <w:r>
              <w:rPr>
                <w:rFonts w:ascii="JetBrains Mono" w:hAnsi="JetBrains Mono" w:eastAsia="JetBrains Mono" w:cs="JetBrains Mono"/>
                <w:sz w:val="18"/>
              </w:rPr>
            </w:r>
            <w:r>
              <w:rPr>
                <w:rFonts w:ascii="JetBrains Mono" w:hAnsi="JetBrains Mono" w:eastAsia="JetBrains Mono" w:cs="JetBrains Mono"/>
              </w:rPr>
            </w:r>
            <w:r>
              <w:rPr>
                <w:rFonts w:ascii="JetBrains Mono" w:hAnsi="JetBrains Mono" w:eastAsia="JetBrains Mono" w:cs="JetBrains Mono"/>
              </w:rPr>
            </w:r>
          </w:p>
        </w:tc>
        <w:tc>
          <w:tcPr>
            <w:shd w:val="clear" w:color="auto" w:fill="ffffff"/>
            <w:tcBorders>
              <w:top w:val="single" w:color="000000" w:sz="8" w:space="0"/>
              <w:left w:val="single" w:color="000000" w:sz="8" w:space="0"/>
              <w:bottom w:val="single" w:color="000000" w:sz="8" w:space="0"/>
              <w:right w:val="single" w:color="000000" w:sz="8" w:space="0"/>
            </w:tcBorders>
            <w:tcMar>
              <w:left w:w="120" w:type="dxa"/>
              <w:top w:w="60" w:type="dxa"/>
              <w:right w:w="120" w:type="dxa"/>
              <w:bottom w:w="60" w:type="dxa"/>
            </w:tcMar>
            <w:tcW w:w="3041" w:type="dxa"/>
          </w:tcPr>
          <w:p>
            <w:pPr>
              <w:pBdr/>
              <w:spacing w:after="0" w:before="0"/>
              <w:ind w:firstLine="0"/>
              <w:rPr>
                <w:rFonts w:ascii="JetBrains Mono" w:hAnsi="JetBrains Mono" w:cs="JetBrains Mono"/>
                <w:b/>
                <w:bCs/>
              </w:rPr>
            </w:pPr>
            <w:r>
              <w:rPr>
                <w:rFonts w:ascii="JetBrains Mono" w:hAnsi="JetBrains Mono" w:eastAsia="JetBrains Mono" w:cs="JetBrains Mono"/>
                <w:b/>
                <w:bCs/>
                <w:sz w:val="18"/>
              </w:rPr>
              <w:t xml:space="preserve">Frontend Angular (4200)</w:t>
            </w:r>
            <w:r>
              <w:rPr>
                <w:rFonts w:ascii="JetBrains Mono" w:hAnsi="JetBrains Mono" w:eastAsia="JetBrains Mono" w:cs="JetBrains Mono"/>
                <w:b/>
                <w:bCs/>
              </w:rPr>
            </w:r>
            <w:r>
              <w:rPr>
                <w:rFonts w:ascii="JetBrains Mono" w:hAnsi="JetBrains Mono" w:eastAsia="JetBrains Mono" w:cs="JetBrains Mono"/>
                <w:b/>
                <w:bCs/>
              </w:rPr>
            </w:r>
          </w:p>
          <w:p>
            <w:pPr>
              <w:pBdr/>
              <w:spacing w:after="0" w:before="0"/>
              <w:ind w:firstLine="0"/>
              <w:rPr>
                <w:rFonts w:ascii="JetBrains Mono" w:hAnsi="JetBrains Mono" w:cs="JetBrains Mono"/>
              </w:rPr>
            </w:pPr>
            <w:r>
              <w:rPr>
                <w:rFonts w:ascii="JetBrains Mono" w:hAnsi="JetBrains Mono" w:eastAsia="JetBrains Mono" w:cs="JetBrains Mono"/>
                <w:sz w:val="18"/>
              </w:rPr>
              <w:t xml:space="preserve">SPA </w:t>
            </w:r>
            <w:r>
              <w:rPr>
                <w:rFonts w:ascii="JetBrains Mono" w:hAnsi="JetBrains Mono" w:eastAsia="JetBrains Mono" w:cs="JetBrains Mono"/>
                <w:sz w:val="18"/>
                <w:lang w:val="pt-BR"/>
              </w:rPr>
              <w:t xml:space="preserve">-</w:t>
            </w:r>
            <w:r>
              <w:rPr>
                <w:rFonts w:ascii="JetBrains Mono" w:hAnsi="JetBrains Mono" w:eastAsia="JetBrains Mono" w:cs="JetBrains Mono"/>
                <w:sz w:val="18"/>
              </w:rPr>
              <w:t xml:space="preserve"> consome ApiApostas</w:t>
            </w:r>
            <w:r>
              <w:rPr>
                <w:rFonts w:ascii="JetBrains Mono" w:hAnsi="JetBrains Mono" w:eastAsia="JetBrains Mono" w:cs="JetBrains Mono"/>
              </w:rPr>
            </w:r>
            <w:r>
              <w:rPr>
                <w:rFonts w:ascii="JetBrains Mono" w:hAnsi="JetBrains Mono" w:eastAsia="JetBrains Mono" w:cs="JetBrains Mono"/>
              </w:rPr>
            </w:r>
          </w:p>
        </w:tc>
      </w:tr>
    </w:tbl>
    <w:p>
      <w:pPr>
        <w:pBdr/>
        <w:spacing w:after="80" w:before="0"/>
        <w:ind/>
        <w:rPr>
          <w:rFonts w:ascii="Readex Pro" w:hAnsi="Readex Pro" w:cs="Readex Pro"/>
        </w:rPr>
      </w:pPr>
      <w:r>
        <w:rPr>
          <w:rFonts w:ascii="Readex Pro" w:hAnsi="Readex Pro" w:eastAsia="Readex Pro" w:cs="Readex Pro"/>
        </w:rPr>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separação entre a base de dados da FPF (betstrike-resultados) e a base de dados da BetStrike (betstrike-apostas) é uma decisão arquitetural deliberada. Os dois sistemas per</w:t>
      </w:r>
      <w:r>
        <w:rPr>
          <w:rFonts w:ascii="Readex Pro" w:hAnsi="Readex Pro" w:eastAsia="Readex Pro" w:cs="Readex Pro"/>
        </w:rPr>
        <w:t xml:space="preserve">tencem a organizações diferentes e não devem partilhar schema. A sincronização de dados entre eles é feita por integração, nunca por acesso direto à base de dados do outro sistema. Na Parte 1 esse canal é polling HTTP; na Parte 2 é consumo do stream Kafka.</w:t>
      </w:r>
      <w:r>
        <w:rPr>
          <w:rFonts w:ascii="Readex Pro" w:hAnsi="Readex Pro" w:eastAsia="Readex Pro" w:cs="Readex Pro"/>
        </w:rPr>
      </w:r>
      <w:r>
        <w:rPr>
          <w:rFonts w:ascii="Readex Pro" w:hAnsi="Readex Pro" w:cs="Readex Pro"/>
        </w:rPr>
      </w:r>
    </w:p>
    <w:p>
      <w:pPr>
        <w:pBdr/>
        <w:spacing/>
        <w:ind/>
        <w:rPr>
          <w:rFonts w:ascii="Readex Pro" w:hAnsi="Readex Pro" w:cs="Readex Pro"/>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pPr>
        <w:pStyle w:val="885"/>
        <w:pBdr/>
        <w:spacing/>
        <w:ind/>
        <w:rPr>
          <w14:ligatures w14:val="none"/>
        </w:rPr>
      </w:pPr>
      <w:r/>
      <w:bookmarkStart w:id="3" w:name="_Toc3"/>
      <w:r>
        <w:t xml:space="preserve">3. Parte 1: Integração REST e Base de Dados</w:t>
      </w:r>
      <w:r/>
      <w:bookmarkEnd w:id="3"/>
      <w:r/>
      <w:r>
        <w:rPr>
          <w14:ligatures w14:val="none"/>
        </w:rPr>
      </w:r>
    </w:p>
    <w:p>
      <w:pPr>
        <w:pStyle w:val="886"/>
        <w:pBdr/>
        <w:spacing/>
        <w:ind/>
        <w:rPr>
          <w14:ligatures w14:val="none"/>
        </w:rPr>
      </w:pPr>
      <w:r/>
      <w:bookmarkStart w:id="4" w:name="_Toc4"/>
      <w:r>
        <w:t xml:space="preserve">3.1. Decisões de Design</w:t>
      </w:r>
      <w:r/>
      <w:bookmarkEnd w:id="4"/>
      <w:r/>
      <w:r>
        <w:rPr>
          <w14:ligatures w14:val="none"/>
        </w:rPr>
      </w:r>
    </w:p>
    <w:p>
      <w:pPr>
        <w:pBdr/>
        <w:spacing/>
        <w:ind w:firstLine="720"/>
        <w:rPr>
          <w:rFonts w:ascii="Readex Pro" w:hAnsi="Readex Pro" w:cs="Readex Pro"/>
        </w:rPr>
      </w:pPr>
      <w:r>
        <w:rPr>
          <w:rFonts w:ascii="Readex Pro" w:hAnsi="Readex Pro" w:eastAsia="Readex Pro" w:cs="Readex Pro"/>
        </w:rPr>
        <w:t xml:space="preserve">A Parte 1 resolve o problema mais imediato: eliminar a inserção manual de resultados e ligar automaticamente os sistemas da FPF e da BetStrike. A abordagem escolh</w:t>
      </w:r>
      <w:r>
        <w:rPr>
          <w:rFonts w:ascii="Readex Pro" w:hAnsi="Readex Pro" w:eastAsia="Readex Pro" w:cs="Readex Pro"/>
        </w:rPr>
        <w:t xml:space="preserve">ida foi REST sobre HTTP, o estilo arquitetural mais adequado para integração entre sistemas heterogéneos sem partilha de infraestrutura. É stateless, usa verbos HTTP com semântica bem definida, e é naturalmente interoperável com qualquer stack tecnológico.</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Na arquitetura definida para a Parte 1, o acesso à base de dados é feito exclusivamente através </w:t>
      </w:r>
      <w:r>
        <w:rPr>
          <w:rFonts w:ascii="Readex Pro" w:hAnsi="Readex Pro" w:eastAsia="Readex Pro" w:cs="Readex Pro"/>
        </w:rPr>
        <w:t xml:space="preserve">de Stored Procedures SQL Server. Esta abordagem traz vantagens concretas num sistema financeiro: a lógica de validação fica centralizada na camada de dados, o que significa que não pode ser bypassada por outro cliente que aceda à mesma base de dados; as SP</w:t>
      </w:r>
      <w:r>
        <w:rPr>
          <w:rFonts w:ascii="Readex Pro" w:hAnsi="Readex Pro" w:eastAsia="Readex Pro" w:cs="Readex Pro"/>
        </w:rPr>
        <w:t xml:space="preserve">s executam dentro de transações atómicas, eliminando race conditions como dois utilizadores a apostar com o mesmo saldo insuficiente em simultâneo; e as regras de negócio ficam num único local auditável, o que facilita a revisão e o controlo de alterações.</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contrapartida desta abordagem é o acoplamento entre a API e o esquema de base </w:t>
      </w:r>
      <w:r>
        <w:rPr>
          <w:rFonts w:ascii="Readex Pro" w:hAnsi="Readex Pro" w:eastAsia="Readex Pro" w:cs="Readex Pro"/>
        </w:rPr>
        <w:t xml:space="preserve">de dados: uma alteração numa SP pode quebrar silenciosamente a API se não houver testes de integração suficientes. É um tradeoff que faz sentido num contexto de sistema financeiro, onde a integridade transacional pesa mais do que a flexibilidade de schema.</w:t>
      </w:r>
      <w:r>
        <w:rPr>
          <w:rFonts w:ascii="Readex Pro" w:hAnsi="Readex Pro" w:eastAsia="Readex Pro" w:cs="Readex Pro"/>
        </w:rPr>
      </w:r>
      <w:r>
        <w:rPr>
          <w:rFonts w:ascii="Readex Pro" w:hAnsi="Readex Pro" w:cs="Readex Pro"/>
        </w:rPr>
      </w:r>
    </w:p>
    <w:p>
      <w:pPr>
        <w:pStyle w:val="886"/>
        <w:pBdr/>
        <w:spacing/>
        <w:ind/>
        <w:rPr>
          <w14:ligatures w14:val="none"/>
        </w:rPr>
      </w:pPr>
      <w:r/>
      <w:bookmarkStart w:id="5" w:name="_Toc5"/>
      <w:r>
        <w:t xml:space="preserve">3.2. GeradorDados: Simulação da FPF</w:t>
      </w:r>
      <w:r/>
      <w:bookmarkEnd w:id="5"/>
      <w:r/>
      <w:r>
        <w:rPr>
          <w14:ligatures w14:val="none"/>
        </w:rPr>
      </w:r>
    </w:p>
    <w:p>
      <w:pPr>
        <w:pBdr/>
        <w:spacing/>
        <w:ind w:firstLine="720"/>
        <w:rPr>
          <w:rFonts w:ascii="Readex Pro" w:hAnsi="Readex Pro" w:cs="Readex Pro"/>
        </w:rPr>
      </w:pPr>
      <w:r>
        <w:rPr>
          <w:rFonts w:ascii="Readex Pro" w:hAnsi="Readex Pro" w:eastAsia="Readex Pro" w:cs="Readex Pro"/>
        </w:rPr>
        <w:t xml:space="preserve">O GeradorDados opera em duas f</w:t>
      </w:r>
      <w:r>
        <w:rPr>
          <w:rFonts w:ascii="Readex Pro" w:hAnsi="Readex Pro" w:eastAsia="Readex Pro" w:cs="Readex Pro"/>
        </w:rPr>
        <w:t xml:space="preserve">ases sequenciais. A Fase 1 publica antecipadamente o calendário completo da jornada: gera 9 emparelhamentos para as 18 equipas da Primeira Liga, garantindo que cada equipa joga exatamente uma vez em casa e uma vez fora ao longo de duas jornadas consecutiva</w:t>
      </w:r>
      <w:r>
        <w:rPr>
          <w:rFonts w:ascii="Readex Pro" w:hAnsi="Readex Pro" w:eastAsia="Readex Pro" w:cs="Readex Pro"/>
        </w:rPr>
        <w:t xml:space="preserve">s. Cada jogo recebe um código no formato FUT-AAAA-JJNN. A operação é idempotente: consulta os jogos existentes antes de publicar e aborta se a jornada já estiver registada, o que evita duplicados mesmo que o GeradorDados seja reiniciado durante a execução.</w:t>
      </w:r>
      <w:r>
        <w:rPr>
          <w:rFonts w:ascii="Readex Pro" w:hAnsi="Readex Pro" w:eastAsia="Readex Pro" w:cs="Readex Pro"/>
        </w:rPr>
      </w:r>
      <w:r>
        <w:rPr>
          <w:rFonts w:ascii="Readex Pro" w:hAnsi="Readex Pro" w:cs="Readex Pro"/>
        </w:rPr>
      </w:r>
    </w:p>
    <w:p>
      <w:pPr>
        <w:pBdr/>
        <w:spacing/>
        <w:ind w:firstLine="720"/>
        <w:rPr>
          <w:rFonts w:ascii="Readex Pro" w:hAnsi="Readex Pro" w:eastAsia="Readex Pro" w:cs="Readex Pro"/>
          <w:highlight w:val="none"/>
        </w:rPr>
      </w:pPr>
      <w:r>
        <w:rPr>
          <w:rFonts w:ascii="Readex Pro" w:hAnsi="Readex Pro" w:eastAsia="Readex Pro" w:cs="Readex Pro"/>
        </w:rPr>
        <w:t xml:space="preserve">A Fase 2 simula os 9 jogos em paralelo como tarefas assínc</w:t>
      </w:r>
      <w:r>
        <w:rPr>
          <w:rFonts w:ascii="Readex Pro" w:hAnsi="Readex Pro" w:eastAsia="Readex Pro" w:cs="Readex Pro"/>
        </w:rPr>
        <w:t xml:space="preserve">ronas independentes. A cada 10 segundos (10 minutos fictícios), o estado ou o marcador é atualizado via PATCH na ApiResultados. Golos são gerados aleatoriamente com média de 2 a 3 por jogo, incrementando progressivamente. O HttpClientService usa uma Polly </w:t>
      </w:r>
      <w:r>
        <w:rPr>
          <w:rFonts w:ascii="Readex Pro" w:hAnsi="Readex Pro" w:eastAsia="Readex Pro" w:cs="Readex Pro"/>
        </w:rPr>
        <w:t xml:space="preserve">retry policy com backoff exponencial (3 tentativas, delays de 1s, 2s e 4s) para absorver falhas transitórias. Esta resiliência no cliente é relevante porque a simulação corre durante vários minutos e uma falha pontual não deve interromper o fluxo completo.</w:t>
      </w:r>
      <w:r>
        <w:rPr>
          <w:rFonts w:ascii="Readex Pro" w:hAnsi="Readex Pro" w:eastAsia="Readex Pro" w:cs="Readex Pro"/>
        </w:rPr>
      </w:r>
      <w:r>
        <w:rPr>
          <w:rFonts w:ascii="Readex Pro" w:hAnsi="Readex Pro" w:cs="Readex Pro"/>
        </w:rPr>
      </w:r>
    </w:p>
    <w:p w14:paraId="6925ABB4">
      <w:pPr>
        <w:pBdr/>
        <w:spacing/>
        <w:ind/>
        <w:rPr>
          <w:rFonts w:ascii="Readex Pro" w:hAnsi="Readex Pro" w:cs="Readex Pro"/>
        </w:rPr>
      </w:pPr>
      <w:r>
        <w:rPr>
          <w:highlight w:val="none"/>
        </w:rPr>
      </w:r>
      <w:r>
        <w:rPr>
          <w:highlight w:val="none"/>
        </w:rPr>
      </w:r>
      <w:r>
        <w:rPr>
          <w:highlight w:val="none"/>
        </w:rPr>
      </w:r>
    </w:p>
    <w:p w14:paraId="1A5FA871">
      <w:pPr>
        <w:pBdr/>
        <w:spacing/>
        <w:ind w:firstLine="0"/>
        <w:jc w:val="center"/>
        <w:rPr>
          <w:highlight w:val="none"/>
        </w:rPr>
      </w:pPr>
      <w:r>
        <w:rPr>
          <w:highlight w:val="none"/>
        </w:rPr>
      </w:r>
      <w:r>
        <mc:AlternateContent>
          <mc:Choice Requires="wpg">
            <w:drawing>
              <wp:inline xmlns:wp="http://schemas.openxmlformats.org/drawingml/2006/wordprocessingDrawing" distT="0" distB="0" distL="0" distR="0">
                <wp:extent cx="5792470" cy="657195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11188" name=""/>
                        <pic:cNvPicPr>
                          <a:picLocks noChangeAspect="1"/>
                        </pic:cNvPicPr>
                        <pic:nvPr/>
                      </pic:nvPicPr>
                      <pic:blipFill rotWithShape="1">
                        <a:blip r:embed="rId13"/>
                        <a:stretch/>
                      </pic:blipFill>
                      <pic:spPr bwMode="auto">
                        <a:xfrm>
                          <a:off x="0" y="0"/>
                          <a:ext cx="5792469" cy="657195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6.10pt;height:517.48pt;mso-wrap-distance-left:0.00pt;mso-wrap-distance-top:0.00pt;mso-wrap-distance-right:0.00pt;mso-wrap-distance-bottom:0.00pt;z-index:1;" stroked="false">
                <v:imagedata r:id="rId13" o:title=""/>
                <o:lock v:ext="edit" rotation="t"/>
              </v:shape>
            </w:pict>
          </mc:Fallback>
        </mc:AlternateContent>
      </w:r>
      <w:r>
        <w:rPr>
          <w:highlight w:val="none"/>
        </w:rPr>
      </w:r>
      <w:r/>
      <w:r>
        <w:rPr>
          <w:highlight w:val="none"/>
        </w:rPr>
      </w:r>
      <w:r/>
      <w:r>
        <w:rPr>
          <w:highlight w:val="none"/>
        </w:rPr>
      </w:r>
      <w:r>
        <w:rPr>
          <w:highlight w:val="none"/>
        </w:rPr>
      </w:r>
      <w:r>
        <w:rPr>
          <w:highlight w:val="none"/>
        </w:rPr>
      </w:r>
    </w:p>
    <w:p w14:paraId="285B790F">
      <w:pPr>
        <w:pStyle w:val="934"/>
        <w:pBdr/>
        <w:spacing/>
        <w:ind/>
        <w:rPr>
          <w14:ligatures w14:val="none"/>
        </w:rPr>
      </w:pPr>
      <w:r>
        <w:t xml:space="preserve">Figura </w:t>
      </w:r>
      <w:r>
        <w:fldChar w:fldCharType="begin"/>
        <w:instrText xml:space="preserve"> SEQ Figura \* Arabic </w:instrText>
        <w:fldChar w:fldCharType="separate"/>
      </w:r>
      <w:r>
        <w:t xml:space="preserve">1</w:t>
      </w:r>
      <w:r/>
      <w:r>
        <w:fldChar w:fldCharType="end"/>
      </w:r>
      <w:r>
        <w:t xml:space="preserve"> </w:t>
      </w:r>
      <w:r>
        <w:rPr>
          <w:lang w:val="pt-BR"/>
        </w:rPr>
        <w:t xml:space="preserve">-</w:t>
      </w:r>
      <w:r>
        <w:t xml:space="preserve"> </w:t>
      </w:r>
      <w:r>
        <w:rPr>
          <w:lang w:val="pt-BR"/>
        </w:rPr>
        <w:t xml:space="preserve">Portal Gerador de Dados, durante uma simulação de 9 jogos em simultâneo</w:t>
      </w:r>
      <w:r>
        <w:rPr>
          <w:lang w:val="pt-BR"/>
        </w:rPr>
        <w:t xml:space="preserve"> </w:t>
      </w:r>
      <w:r/>
    </w:p>
    <w:p w14:paraId="7F06E370">
      <w:pPr>
        <w:pBdr/>
        <w:shd w:val="clear" w:color="auto" w:fill="auto"/>
        <w:spacing w:after="120" w:before="120"/>
        <w:ind w:firstLine="720" w:left="0"/>
        <w:rPr>
          <w:rFonts w:ascii="Readex Pro" w:hAnsi="Readex Pro" w:cs="Readex Pro"/>
          <w14:ligatures w14:val="none"/>
        </w:rPr>
      </w:pPr>
      <w:r>
        <w:rPr>
          <w:rFonts w:ascii="Readex Pro" w:hAnsi="Readex Pro" w:eastAsia="Readex Pro" w:cs="Readex Pro"/>
          <w:highlight w:val="none"/>
          <w:lang w:val="pt-BR"/>
        </w:rPr>
        <w:t xml:space="preserve">Através da aplicação geradora de dados, é ainda possível simular cada jogo de forma individual, havendo também a opção de ajustar o intervalo em segundos correspondente a dez minutos de jogo, por forma a agilizar as simulações.</w:t>
      </w:r>
      <w:r>
        <w:rPr>
          <w:rFonts w:ascii="Readex Pro" w:hAnsi="Readex Pro" w:eastAsia="Readex Pro" w:cs="Readex Pro"/>
        </w:rPr>
      </w:r>
      <w:r>
        <w:rPr>
          <w:rFonts w:ascii="Readex Pro" w:hAnsi="Readex Pro" w:cs="Readex Pro"/>
          <w14:ligatures w14:val="none"/>
        </w:rPr>
      </w:r>
    </w:p>
    <w:p>
      <w:pPr>
        <w:pStyle w:val="886"/>
        <w:pBdr/>
        <w:spacing/>
        <w:ind/>
        <w:rPr>
          <w14:ligatures w14:val="none"/>
        </w:rPr>
      </w:pPr>
      <w:r/>
      <w:bookmarkStart w:id="6" w:name="_Toc6"/>
      <w:r>
        <w:t xml:space="preserve">3.3. Gestão de Estado dos Jogos</w:t>
      </w:r>
      <w:r/>
      <w:bookmarkEnd w:id="6"/>
      <w:r/>
      <w:r>
        <w:rPr>
          <w14:ligatures w14:val="none"/>
        </w:rPr>
      </w:r>
    </w:p>
    <w:p>
      <w:pPr>
        <w:pBdr/>
        <w:spacing/>
        <w:ind w:firstLine="720"/>
        <w:rPr>
          <w:rFonts w:ascii="Readex Pro" w:hAnsi="Readex Pro" w:cs="Readex Pro"/>
        </w:rPr>
      </w:pPr>
      <w:r>
        <w:rPr>
          <w:rFonts w:ascii="Readex Pro" w:hAnsi="Readex Pro" w:eastAsia="Readex Pro" w:cs="Readex Pro"/>
        </w:rPr>
        <w:t xml:space="preserve">O modelo de estados (Agendado, EmCurso, Fi</w:t>
      </w:r>
      <w:r>
        <w:rPr>
          <w:rFonts w:ascii="Readex Pro" w:hAnsi="Readex Pro" w:eastAsia="Readex Pro" w:cs="Readex Pro"/>
        </w:rPr>
        <w:t xml:space="preserve">nalizado, Cancelado, Adiado) com transições estritamente controladas é um dos aspetos mais críticos do sistema. A validação existe em dois níveis: no controlador da API, que rejeita transições inválidas com HTTP 409 antes de tocar na base de dados; e nas S</w:t>
      </w:r>
      <w:r>
        <w:rPr>
          <w:rFonts w:ascii="Readex Pro" w:hAnsi="Readex Pro" w:eastAsia="Readex Pro" w:cs="Readex Pro"/>
        </w:rPr>
        <w:t xml:space="preserve">tored Procedures, que verificam novamente dentro da transação, protegendo contra race conditions. Esta dupla validação é intencional pois a camada de API oferece feedback rápido ao cliente, enquanto a SP garante consistência mesmo com acessos concorrentes.</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Quando um jogo transita para Finalizado sem marcador associado, o </w:t>
      </w:r>
      <w:r>
        <w:rPr>
          <w:rFonts w:ascii="Readex Pro" w:hAnsi="Readex Pro" w:eastAsia="Readex Pro" w:cs="Readex Pro"/>
        </w:rPr>
        <w:t xml:space="preserve">sistema insere automaticamente um resultado 0-0 marcado como desconhecido. Esta decisão garante que toda a lógica de resolução de apostas funciona sem tratar casos especiais de resultado nulo, simplificando o código e eliminando uma classe inteira de bugs.</w:t>
      </w:r>
      <w:r>
        <w:rPr>
          <w:rFonts w:ascii="Readex Pro" w:hAnsi="Readex Pro" w:eastAsia="Readex Pro" w:cs="Readex Pro"/>
        </w:rPr>
      </w:r>
      <w:r>
        <w:rPr>
          <w:rFonts w:ascii="Readex Pro" w:hAnsi="Readex Pro" w:cs="Readex Pro"/>
        </w:rPr>
      </w:r>
    </w:p>
    <w:p>
      <w:pPr>
        <w:pStyle w:val="886"/>
        <w:pBdr/>
        <w:spacing/>
        <w:ind/>
        <w:rPr>
          <w14:ligatures w14:val="none"/>
        </w:rPr>
      </w:pPr>
      <w:r/>
      <w:bookmarkStart w:id="7" w:name="_Toc7"/>
      <w:r>
        <w:t xml:space="preserve">3.4. Integração ApiApostas e ApiPagamentos</w:t>
      </w:r>
      <w:r/>
      <w:bookmarkEnd w:id="7"/>
      <w:r/>
      <w:r>
        <w:rPr>
          <w14:ligatures w14:val="none"/>
        </w:rPr>
      </w:r>
    </w:p>
    <w:p>
      <w:pPr>
        <w:pBdr/>
        <w:spacing/>
        <w:ind w:firstLine="720"/>
        <w:rPr>
          <w:rFonts w:ascii="Readex Pro" w:hAnsi="Readex Pro" w:cs="Readex Pro"/>
        </w:rPr>
      </w:pPr>
      <w:r>
        <w:rPr>
          <w:rFonts w:ascii="Readex Pro" w:hAnsi="Readex Pro" w:eastAsia="Readex Pro" w:cs="Readex Pro"/>
        </w:rPr>
        <w:t xml:space="preserve">A integração entre os sistemas de apostas e de pagamentos levantou um</w:t>
      </w:r>
      <w:r>
        <w:rPr>
          <w:rFonts w:ascii="Readex Pro" w:hAnsi="Readex Pro" w:eastAsia="Readex Pro" w:cs="Readex Pro"/>
        </w:rPr>
        <w:t xml:space="preserve"> problema de atomicidade distribuída: criar um utilizador requer simultaneamente inserir um registo na base Apostas e criar um saldo inicial de 50,00 euros na base Pagamentos. Não é possível usar uma transação SQL única porque são bases de dados separadas.</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solução implementada é uma compensação síncrona: cria </w:t>
      </w:r>
      <w:r>
        <w:rPr>
          <w:rFonts w:ascii="Readex Pro" w:hAnsi="Readex Pro" w:eastAsia="Readex Pro" w:cs="Readex Pro"/>
        </w:rPr>
        <w:t xml:space="preserve">o utilizador, chama a ApiPagamentos, e se esta falhar, elimina o utilizador. Esta abordagem é simples e funcional para o volume em causa, mas tem uma janela de falha: se o processo crashar entre a chamada à ApiPagamentos e o return, o utilizador fica criad</w:t>
      </w:r>
      <w:r>
        <w:rPr>
          <w:rFonts w:ascii="Readex Pro" w:hAnsi="Readex Pro" w:eastAsia="Readex Pro" w:cs="Readex Pro"/>
        </w:rPr>
        <w:t xml:space="preserve">o sem saldo. A alternativa robusta seria o padrão Saga, uma sequência de transações locais com ações de compensação coordenadas por eventos. A complexidade adicional não se justificava para o âmbito deste trabalho, sendo uma evolução natural para produção.</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Para o fluxo de pagamentos de apostas, foi adotado um padrão de outbox simplificado. O campo PagamentoPendente (BIT) na tabela Apostas funciona como sinalizador: é marcado a 1 na mesma transação SQL da resolução</w:t>
      </w:r>
      <w:r>
        <w:rPr>
          <w:rFonts w:ascii="Readex Pro" w:hAnsi="Readex Pro" w:eastAsia="Readex Pro" w:cs="Readex Pro"/>
        </w:rPr>
        <w:t xml:space="preserve">, e a 0 apenas após a chamada HTTP à ApiPagamentos ser confirmada. Se a chamada falhar, o campo permanece a 1 e o PendingBetsSweeper (introduzido na Parte 2) trata do retry. Esta abordagem desacopla a atomicidade SQL da fiabilidade da chamada HTTP externa.</w:t>
      </w:r>
      <w:r>
        <w:rPr>
          <w:rFonts w:ascii="Readex Pro" w:hAnsi="Readex Pro" w:eastAsia="Readex Pro" w:cs="Readex Pro"/>
        </w:rPr>
      </w:r>
      <w:r>
        <w:rPr>
          <w:rFonts w:ascii="Readex Pro" w:hAnsi="Readex Pro" w:cs="Readex Pro"/>
        </w:rPr>
      </w:r>
    </w:p>
    <w:p>
      <w:pPr>
        <w:pStyle w:val="886"/>
        <w:pBdr/>
        <w:spacing/>
        <w:ind/>
        <w:rPr>
          <w14:ligatures w14:val="none"/>
        </w:rPr>
      </w:pPr>
      <w:r/>
      <w:bookmarkStart w:id="8" w:name="_Toc8"/>
      <w:r>
        <w:t xml:space="preserve">3.5. Frontend </w:t>
      </w:r>
      <w:r>
        <w:t xml:space="preserve">Angular</w:t>
      </w:r>
      <w:r/>
      <w:bookmarkEnd w:id="8"/>
      <w:r/>
      <w:r>
        <w:rPr>
          <w14:ligatures w14:val="none"/>
        </w:rPr>
      </w:r>
    </w:p>
    <w:p>
      <w:pPr>
        <w:pBdr/>
        <w:spacing/>
        <w:ind w:firstLine="720"/>
        <w:rPr>
          <w:rFonts w:ascii="Readex Pro" w:hAnsi="Readex Pro" w:cs="Readex Pro"/>
        </w:rPr>
      </w:pPr>
      <w:r>
        <w:rPr>
          <w:rFonts w:ascii="Readex Pro" w:hAnsi="Readex Pro" w:eastAsia="Readex Pro" w:cs="Readex Pro"/>
        </w:rPr>
        <w:t xml:space="preserve">O frontend é uma SPA desenvolvida em Angular 21. Embora não seja o foco do trab</w:t>
      </w:r>
      <w:r>
        <w:rPr>
          <w:rFonts w:ascii="Readex Pro" w:hAnsi="Readex Pro" w:eastAsia="Readex Pro" w:cs="Readex Pro"/>
        </w:rPr>
        <w:t xml:space="preserve">alho, a sua existência é relevante para validar que a API está bem desenhada para clientes reais. As rotas, os contratos de dados, os mecanismos de autenticação e a gestão de estado são todos visíveis no frontend e servem como teste de integração informal.</w:t>
      </w:r>
      <w:r>
        <w:rPr>
          <w:rFonts w:ascii="Readex Pro" w:hAnsi="Readex Pro" w:eastAsia="Readex Pro" w:cs="Readex Pro"/>
        </w:rPr>
      </w:r>
      <w:r>
        <w:rPr>
          <w:rFonts w:ascii="Readex Pro" w:hAnsi="Readex Pro" w:cs="Readex Pro"/>
        </w:rPr>
      </w:r>
    </w:p>
    <w:p>
      <w:pPr>
        <w:pStyle w:val="887"/>
        <w:pBdr/>
        <w:spacing/>
        <w:ind/>
        <w:rPr>
          <w:rFonts w:ascii="Readex Pro" w:hAnsi="Readex Pro" w:cs="Readex Pro"/>
        </w:rPr>
      </w:pPr>
      <w:r/>
      <w:bookmarkStart w:id="9" w:name="_Toc9"/>
      <w:r>
        <w:rPr>
          <w:rFonts w:ascii="Readex Pro" w:hAnsi="Readex Pro" w:eastAsia="Readex Pro" w:cs="Readex Pro"/>
        </w:rPr>
        <w:t xml:space="preserve">Funcionalidades </w:t>
      </w:r>
      <w:r>
        <w:t xml:space="preserve">implementadas</w:t>
      </w:r>
      <w:r/>
      <w:bookmarkEnd w:id="9"/>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aplicação está organizada em cinco features com lazy loading:</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Autenticação: login e registo de utilizador. O token JWT devolvido pela API é armazenado em memória e injetado automaticamente nos pedidos seguintes via HTTP interceptor. O estado de autenticação é gerido por um AuthService com Angular Signals.</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Lista de jogos: tabela de jogos da jornada</w:t>
      </w:r>
      <w:r>
        <w:rPr>
          <w:rFonts w:ascii="Readex Pro" w:hAnsi="Readex Pro" w:eastAsia="Readex Pro" w:cs="Readex Pro"/>
        </w:rPr>
        <w:t xml:space="preserve"> com filtros por data e estado, consumindo GET /api/jogos. Inclui polling automático a cada 10 segundos para refletir atualizações de marcador durante jogos EmCurso. Notificações de golo surgem no topo da página quando o marcador muda entre polling cycles.</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Detalhe do jogo: vista completa com resultado, odds atuais, estatísticas (total apostado, apostas por tipo, margem da plataforma) e formulário de aposta. Usa forkJoin para carregar dados do jogo, resultado e estatísticas em paralelo.</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As minhas apostas: histórico com estado atual (Pendente, Ganha, Perdida, Anulada), prémio potencial e opção de cancelamento para apostas ainda anuláveis.</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Painel de administração: visível apenas para a role Admin. Permite gerir jogos manualmente e visualizar todos os utilizadores e as suas apostas.</w:t>
      </w:r>
      <w:r>
        <w:rPr>
          <w:rFonts w:ascii="Readex Pro" w:hAnsi="Readex Pro" w:eastAsia="Readex Pro" w:cs="Readex Pro"/>
        </w:rPr>
      </w:r>
      <w:r>
        <w:rPr>
          <w:rFonts w:ascii="Readex Pro" w:hAnsi="Readex Pro" w:cs="Readex Pro"/>
        </w:rPr>
      </w:r>
    </w:p>
    <w:p w14:paraId="15E54E16">
      <w:pPr>
        <w:pStyle w:val="915"/>
        <w:numPr>
          <w:ilvl w:val="0"/>
          <w:numId w:val="0"/>
        </w:numPr>
        <w:pBdr/>
        <w:spacing/>
        <w:ind w:firstLine="0" w:left="0"/>
        <w:rPr>
          <w:rFonts w:ascii="Readex Pro" w:hAnsi="Readex Pro" w:cs="Readex Pro"/>
        </w:rPr>
      </w:pPr>
      <w:r>
        <w:rPr>
          <w:rFonts w:ascii="Readex Pro" w:hAnsi="Readex Pro" w:cs="Readex Pro"/>
        </w:rPr>
      </w:r>
      <w:r>
        <w:rPr>
          <w:rFonts w:ascii="Readex Pro" w:hAnsi="Readex Pro" w:cs="Readex Pro"/>
        </w:rPr>
      </w:r>
      <w:r>
        <w:rPr>
          <w:rFonts w:ascii="Readex Pro" w:hAnsi="Readex Pro" w:cs="Readex Pro"/>
        </w:rPr>
      </w:r>
    </w:p>
    <w:p w14:paraId="5E1817ED">
      <w:pPr>
        <w:pStyle w:val="915"/>
        <w:numPr>
          <w:ilvl w:val="0"/>
          <w:numId w:val="0"/>
        </w:numPr>
        <w:pBdr/>
        <w:spacing/>
        <w:ind w:firstLine="0" w:left="0"/>
        <w:jc w:val="center"/>
        <w:rPr>
          <w:rFonts w:ascii="Readex Pro" w:hAnsi="Readex Pro" w:cs="Readex Pro"/>
        </w:rPr>
      </w:pPr>
      <w:r>
        <w:rPr>
          <w:rFonts w:ascii="Readex Pro" w:hAnsi="Readex Pro" w:eastAsia="Readex Pro" w:cs="Readex Pro"/>
          <w:highlight w:val="none"/>
        </w:rPr>
      </w:r>
      <w:r/>
      <w:r>
        <mc:AlternateContent>
          <mc:Choice Requires="wpg">
            <w:drawing>
              <wp:inline xmlns:wp="http://schemas.openxmlformats.org/drawingml/2006/wordprocessingDrawing" distT="0" distB="0" distL="0" distR="0">
                <wp:extent cx="4670533" cy="423055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69928" name=""/>
                        <pic:cNvPicPr>
                          <a:picLocks noChangeAspect="1"/>
                        </pic:cNvPicPr>
                        <pic:nvPr/>
                      </pic:nvPicPr>
                      <pic:blipFill rotWithShape="1">
                        <a:blip r:embed="rId14"/>
                        <a:stretch/>
                      </pic:blipFill>
                      <pic:spPr bwMode="auto">
                        <a:xfrm rot="0" flipH="0" flipV="0">
                          <a:off x="0" y="0"/>
                          <a:ext cx="4670532" cy="42305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67.76pt;height:333.11pt;mso-wrap-distance-left:0.00pt;mso-wrap-distance-top:0.00pt;mso-wrap-distance-right:0.00pt;mso-wrap-distance-bottom:0.00pt;rotation:0;z-index:1;" stroked="false">
                <v:imagedata r:id="rId14" o:title=""/>
                <o:lock v:ext="edit" rotation="t"/>
              </v:shape>
            </w:pict>
          </mc:Fallback>
        </mc:AlternateContent>
      </w:r>
      <w:r/>
      <w:r>
        <w:rPr>
          <w:rFonts w:ascii="Readex Pro" w:hAnsi="Readex Pro" w:eastAsia="Readex Pro" w:cs="Readex Pro"/>
          <w:highlight w:val="none"/>
        </w:rPr>
      </w:r>
      <w:r>
        <w:rPr>
          <w:rFonts w:ascii="Readex Pro" w:hAnsi="Readex Pro" w:eastAsia="Readex Pro" w:cs="Readex Pro"/>
          <w:highlight w:val="none"/>
        </w:rPr>
      </w:r>
      <w:r>
        <w:rPr>
          <w:rFonts w:ascii="Readex Pro" w:hAnsi="Readex Pro" w:eastAsia="Readex Pro" w:cs="Readex Pro"/>
          <w:highlight w:val="none"/>
        </w:rPr>
      </w:r>
    </w:p>
    <w:p w14:paraId="4BA00303">
      <w:pPr>
        <w:pStyle w:val="934"/>
        <w:pBdr/>
        <w:spacing/>
        <w:ind w:firstLine="0"/>
        <w:jc w:val="both"/>
        <w:rPr/>
      </w:pPr>
      <w:r>
        <w:t xml:space="preserve">Figura </w:t>
      </w:r>
      <w:r>
        <w:fldChar w:fldCharType="begin"/>
        <w:instrText xml:space="preserve"> SEQ Figura \* Arabic </w:instrText>
        <w:fldChar w:fldCharType="separate"/>
      </w:r>
      <w:r>
        <w:t xml:space="preserve">2</w:t>
      </w:r>
      <w:r/>
      <w:r>
        <w:fldChar w:fldCharType="end"/>
      </w:r>
      <w:r>
        <w:t xml:space="preserve"> - </w:t>
      </w:r>
      <w:r>
        <w:rPr>
          <w:lang w:val="pt-BR"/>
        </w:rPr>
        <w:t xml:space="preserve">L</w:t>
      </w:r>
      <w:r>
        <w:t xml:space="preserve">ista de jogos com filtros e notificações de golo</w:t>
      </w:r>
      <w:r>
        <w:rPr>
          <w:lang w:val="pt-BR"/>
        </w:rPr>
        <w:t xml:space="preserve"> (painel utilizador)</w:t>
      </w:r>
      <w:r/>
    </w:p>
    <w:p w14:paraId="28F0CE34">
      <w:pPr>
        <w:pBdr/>
        <w:spacing/>
        <w:ind w:firstLine="0"/>
        <w:jc w:val="center"/>
        <w:rPr/>
      </w:pPr>
      <w:r/>
      <w:r>
        <mc:AlternateContent>
          <mc:Choice Requires="wpg">
            <w:drawing>
              <wp:inline xmlns:wp="http://schemas.openxmlformats.org/drawingml/2006/wordprocessingDrawing" distT="0" distB="0" distL="0" distR="0">
                <wp:extent cx="5792470" cy="407888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27982" name=""/>
                        <pic:cNvPicPr>
                          <a:picLocks noChangeAspect="1"/>
                        </pic:cNvPicPr>
                        <pic:nvPr/>
                      </pic:nvPicPr>
                      <pic:blipFill rotWithShape="1">
                        <a:blip r:embed="rId15"/>
                        <a:stretch/>
                      </pic:blipFill>
                      <pic:spPr bwMode="auto">
                        <a:xfrm>
                          <a:off x="0" y="0"/>
                          <a:ext cx="5792469" cy="40788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6.10pt;height:321.17pt;mso-wrap-distance-left:0.00pt;mso-wrap-distance-top:0.00pt;mso-wrap-distance-right:0.00pt;mso-wrap-distance-bottom:0.00pt;z-index:1;" stroked="false">
                <v:imagedata r:id="rId15" o:title=""/>
                <o:lock v:ext="edit" rotation="t"/>
              </v:shape>
            </w:pict>
          </mc:Fallback>
        </mc:AlternateContent>
      </w:r>
      <w:r/>
      <w:r/>
      <w:r/>
      <w:r/>
      <w:r/>
    </w:p>
    <w:p w14:paraId="70218EA0">
      <w:pPr>
        <w:pStyle w:val="934"/>
        <w:pBdr/>
        <w:spacing/>
        <w:ind/>
        <w:rPr/>
      </w:pPr>
      <w:r>
        <w:t xml:space="preserve">Figura </w:t>
      </w:r>
      <w:r>
        <w:fldChar w:fldCharType="begin"/>
        <w:instrText xml:space="preserve"> SEQ Figura \* Arabic </w:instrText>
        <w:fldChar w:fldCharType="separate"/>
      </w:r>
      <w:r>
        <w:t xml:space="preserve">3</w:t>
      </w:r>
      <w:r/>
      <w:r>
        <w:fldChar w:fldCharType="end"/>
      </w:r>
      <w:r>
        <w:t xml:space="preserve"> - Formulário de aposta </w:t>
      </w:r>
      <w:r>
        <w:rPr>
          <w:lang w:val="pt-BR"/>
        </w:rPr>
        <w:t xml:space="preserve">(painel utilizador)</w:t>
      </w:r>
      <w:r/>
    </w:p>
    <w:p w14:paraId="208B4085">
      <w:pPr>
        <w:pBdr/>
        <w:spacing/>
        <w:ind w:firstLine="0"/>
        <w:jc w:val="center"/>
        <w:rPr/>
      </w:pPr>
      <w:r/>
      <w:r/>
      <w:r>
        <mc:AlternateContent>
          <mc:Choice Requires="wpg">
            <w:drawing>
              <wp:inline xmlns:wp="http://schemas.openxmlformats.org/drawingml/2006/wordprocessingDrawing" distT="0" distB="0" distL="0" distR="0">
                <wp:extent cx="5792470" cy="272564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6960" name=""/>
                        <pic:cNvPicPr>
                          <a:picLocks noChangeAspect="1"/>
                        </pic:cNvPicPr>
                        <pic:nvPr/>
                      </pic:nvPicPr>
                      <pic:blipFill rotWithShape="1">
                        <a:blip r:embed="rId16"/>
                        <a:stretch/>
                      </pic:blipFill>
                      <pic:spPr bwMode="auto">
                        <a:xfrm>
                          <a:off x="0" y="0"/>
                          <a:ext cx="5792469" cy="27256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6.10pt;height:214.62pt;mso-wrap-distance-left:0.00pt;mso-wrap-distance-top:0.00pt;mso-wrap-distance-right:0.00pt;mso-wrap-distance-bottom:0.00pt;z-index:1;" stroked="false">
                <v:imagedata r:id="rId16" o:title=""/>
                <o:lock v:ext="edit" rotation="t"/>
              </v:shape>
            </w:pict>
          </mc:Fallback>
        </mc:AlternateContent>
      </w:r>
      <w:r/>
      <w:r/>
    </w:p>
    <w:p w14:paraId="639D130B">
      <w:pPr>
        <w:pStyle w:val="934"/>
        <w:pBdr/>
        <w:spacing/>
        <w:ind w:firstLine="0"/>
        <w:rPr/>
      </w:pPr>
      <w:r>
        <w:t xml:space="preserve">Figura </w:t>
      </w:r>
      <w:r>
        <w:fldChar w:fldCharType="begin"/>
        <w:instrText xml:space="preserve"> SEQ Figura \* Arabic </w:instrText>
        <w:fldChar w:fldCharType="separate"/>
      </w:r>
      <w:r>
        <w:t xml:space="preserve">4</w:t>
      </w:r>
      <w:r/>
      <w:r>
        <w:fldChar w:fldCharType="end"/>
      </w:r>
      <w:r>
        <w:t xml:space="preserve"> - Histórico de </w:t>
      </w:r>
      <w:r/>
      <w:r>
        <w:t xml:space="preserve">Apostas </w:t>
      </w:r>
      <w:r>
        <w:rPr>
          <w:lang w:val="pt-BR"/>
        </w:rPr>
        <w:t xml:space="preserve">(painel utilizador)</w:t>
      </w:r>
      <w:r/>
    </w:p>
    <w:p w14:paraId="6A4F4D1C">
      <w:pPr>
        <w:pBdr/>
        <w:shd w:val="nil"/>
        <w:spacing/>
        <w:ind/>
        <w:rPr>
          <w14:ligatures w14:val="none"/>
        </w:rPr>
      </w:pPr>
      <w:r>
        <w:rPr>
          <w:highlight w:val="none"/>
        </w:rPr>
        <w:br w:type="page" w:clear="all"/>
      </w:r>
      <w:r>
        <w:rPr>
          <w:highlight w:val="none"/>
        </w:rPr>
      </w:r>
      <w:r>
        <w:rPr>
          <w:highlight w:val="none"/>
        </w:rPr>
      </w:r>
    </w:p>
    <w:p>
      <w:pPr>
        <w:pStyle w:val="887"/>
        <w:pBdr/>
        <w:spacing/>
        <w:ind w:firstLine="0"/>
        <w:rPr>
          <w:highlight w:val="none"/>
          <w14:ligatures w14:val="none"/>
        </w:rPr>
      </w:pPr>
      <w:r/>
      <w:bookmarkStart w:id="10" w:name="_Toc10"/>
      <w:r>
        <w:t xml:space="preserve">Análise da relação com a API</w:t>
      </w:r>
      <w:r/>
      <w:bookmarkEnd w:id="10"/>
      <w:r/>
      <w:r>
        <w:rPr>
          <w14:ligatures w14:val="none"/>
        </w:rPr>
      </w:r>
    </w:p>
    <w:p>
      <w:pPr>
        <w:pBdr/>
        <w:spacing/>
        <w:ind w:firstLine="720"/>
        <w:rPr>
          <w:rFonts w:ascii="Readex Pro" w:hAnsi="Readex Pro" w:cs="Readex Pro"/>
        </w:rPr>
      </w:pPr>
      <w:r>
        <w:rPr>
          <w:rFonts w:ascii="Readex Pro" w:hAnsi="Readex Pro" w:eastAsia="Readex Pro" w:cs="Readex Pro"/>
        </w:rPr>
        <w:t xml:space="preserve">O polling de 10 segundos na lista de jogos evidencia a limitação da Parte 1: sem eventos push, o cliente tem de perguntar periodicamente se algo mudou. Na Parte 2, a propagação via Ka</w:t>
      </w:r>
      <w:r>
        <w:rPr>
          <w:rFonts w:ascii="Readex Pro" w:hAnsi="Readex Pro" w:eastAsia="Readex Pro" w:cs="Readex Pro"/>
        </w:rPr>
        <w:t xml:space="preserve">fka reduz a latência no backend, pelo que quando o cliente pergunta, os dados já estão atualizados. Uma evolução natural seria expor um endpoint SSE (Server-Sent Events) no ApiApostas alimentado pelos eventos Kafka, eliminando o polling do lado do cliente.</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O ecrã de estatísticas chama os mesmos SPs que alimentam o ApiApostas. A separação entre as estatísticas transacionais (via</w:t>
      </w:r>
      <w:r>
        <w:rPr>
          <w:rFonts w:ascii="Readex Pro" w:hAnsi="Readex Pro" w:eastAsia="Readex Pro" w:cs="Readex Pro"/>
        </w:rPr>
        <w:t xml:space="preserve"> Stored Procedure sp_EstatisticasJogo, consistentes e atómicas) e as métricas do AnalyticsService na Parte 2 (aproximadas mas instantâneas) é um reflexo da separação CQRS: o frontend pode escolher qual a fonte consoante o nível de consistência que precisa.</w:t>
      </w:r>
      <w:r>
        <w:rPr>
          <w:rFonts w:ascii="Readex Pro" w:hAnsi="Readex Pro" w:eastAsia="Readex Pro" w:cs="Readex Pro"/>
        </w:rPr>
      </w:r>
      <w:r>
        <w:rPr>
          <w:rFonts w:ascii="Readex Pro" w:hAnsi="Readex Pro" w:cs="Readex Pro"/>
        </w:rPr>
      </w:r>
    </w:p>
    <w:p>
      <w:pPr>
        <w:pStyle w:val="886"/>
        <w:pBdr/>
        <w:spacing/>
        <w:ind/>
        <w:rPr>
          <w:color w:val="ad8638"/>
          <w14:ligatures w14:val="none"/>
        </w:rPr>
      </w:pPr>
      <w:r/>
      <w:bookmarkStart w:id="11" w:name="_Toc11"/>
      <w:r>
        <w:rPr>
          <w:color w:val="ad8638"/>
        </w:rPr>
        <w:t xml:space="preserve">3.6. </w:t>
      </w:r>
      <w:r>
        <w:t xml:space="preserve">Containerização</w:t>
      </w:r>
      <w:r/>
      <w:bookmarkEnd w:id="11"/>
      <w:r/>
      <w:r>
        <w:rPr>
          <w:color w:val="ad8638"/>
          <w14:ligatures w14:val="none"/>
        </w:rPr>
      </w:r>
    </w:p>
    <w:p>
      <w:pPr>
        <w:pBdr/>
        <w:spacing/>
        <w:ind w:firstLine="720"/>
        <w:rPr>
          <w:rFonts w:ascii="Readex Pro" w:hAnsi="Readex Pro" w:cs="Readex Pro"/>
        </w:rPr>
      </w:pPr>
      <w:r>
        <w:rPr>
          <w:rFonts w:ascii="Readex Pro" w:hAnsi="Readex Pro" w:eastAsia="Readex Pro" w:cs="Readex Pro"/>
        </w:rPr>
        <w:t xml:space="preserve">A containerização com Docker Compose resolve o problema de reprodutibilidade do ambiente. O SQL Server, as APIs e o GeradorDados arrancam com um único comando, sem instalação manual de dependências. O db-init é um container one-shot qu</w:t>
      </w:r>
      <w:r>
        <w:rPr>
          <w:rFonts w:ascii="Readex Pro" w:hAnsi="Readex Pro" w:eastAsia="Readex Pro" w:cs="Readex Pro"/>
        </w:rPr>
        <w:t xml:space="preserve">e executa os scripts SQL de inicialização e termina. Os outros serviços aguardam a sua conclusão via depends_on: condition: service_completed_successfully antes de arrancar, garantindo que nunca tentam ligar à base de dados antes de o esquema estar criado.</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separação de credenciais num ficheiro .env não versionado e o uso de variáveis de ambiente para toda a configuração sensível garante que as imagens Docker são portáveis sem expor segredos no repositório.</w:t>
      </w:r>
      <w:r>
        <w:rPr>
          <w:rFonts w:ascii="Readex Pro" w:hAnsi="Readex Pro" w:eastAsia="Readex Pro" w:cs="Readex Pro"/>
        </w:rPr>
      </w:r>
      <w:r>
        <w:rPr>
          <w:rFonts w:ascii="Readex Pro" w:hAnsi="Readex Pro" w:cs="Readex Pro"/>
        </w:rPr>
      </w:r>
    </w:p>
    <w:p>
      <w:pPr>
        <w:pBdr/>
        <w:spacing/>
        <w:ind/>
        <w:rPr>
          <w:rFonts w:ascii="Readex Pro" w:hAnsi="Readex Pro" w:cs="Readex Pro"/>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pPr>
        <w:pStyle w:val="885"/>
        <w:pBdr/>
        <w:spacing/>
        <w:ind w:firstLine="0"/>
        <w:rPr>
          <w14:ligatures w14:val="none"/>
        </w:rPr>
      </w:pPr>
      <w:r/>
      <w:bookmarkStart w:id="12" w:name="_Toc12"/>
      <w:r>
        <w:t xml:space="preserve">4. Parte 2: Motivação para o Middleware</w:t>
      </w:r>
      <w:r/>
      <w:bookmarkEnd w:id="12"/>
      <w:r/>
      <w:r>
        <w:rPr>
          <w14:ligatures w14:val="none"/>
        </w:rPr>
      </w:r>
    </w:p>
    <w:p>
      <w:pPr>
        <w:pBdr/>
        <w:spacing/>
        <w:ind w:firstLine="720"/>
        <w:rPr>
          <w:rFonts w:ascii="Readex Pro" w:hAnsi="Readex Pro" w:cs="Readex Pro"/>
        </w:rPr>
      </w:pPr>
      <w:r>
        <w:rPr>
          <w:rFonts w:ascii="Readex Pro" w:hAnsi="Readex Pro" w:eastAsia="Readex Pro" w:cs="Readex Pro"/>
        </w:rPr>
        <w:t xml:space="preserve">A Parte 1 resolveu a integração básica, mas deixou três problemas em aberto que se tornam críticos numa plataforma live:</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Acoplamento temporal: o ApiApostas dependia de polling HTTP periódico ao ApiResultados para sincronizar jogos. Se o ApiResultados estivesse em baixo, o ApiApostas ficava desatualizado. A propagação de um update levava até 10 segundos no pior caso.</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Processamento síncrono no caminho crítico: a resolução de apostas, que pode envolver dezenas de chamadas à ApiPagamentos, ocorria de forma síncrona na mesma chamada que atualizava o jogo, bloqueando o thread e aumentando o risco de timeout.</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Ausência de observabilidade: não havia forma de saber em tempo real quantas apostas estavam pendentes, qual a exposição financeira por jogo, ou se havia comportamentos anómalos.</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solução é Message-Oriented Middleware (MOM), infraestrutura que permite comunicação assíncrona entre serviços através de mensagens, desacoplando produtores de consumidores. Os produtores publicam mensagens sem saber q</w:t>
      </w:r>
      <w:r>
        <w:rPr>
          <w:rFonts w:ascii="Readex Pro" w:hAnsi="Readex Pro" w:eastAsia="Readex Pro" w:cs="Readex Pro"/>
        </w:rPr>
        <w:t xml:space="preserve">uem as consome, e os consumidores processam ao seu ritmo sem depender da disponibilidade do produtor. Foram escolhidas duas tecnologias distintas porque os dois casos de uso têm semânticas fundamentalmente diferentes, como se analisa nas secções seguintes.</w:t>
      </w:r>
      <w:r>
        <w:rPr>
          <w:rFonts w:ascii="Readex Pro" w:hAnsi="Readex Pro" w:eastAsia="Readex Pro" w:cs="Readex Pro"/>
        </w:rPr>
      </w:r>
      <w:r>
        <w:rPr>
          <w:rFonts w:ascii="Readex Pro" w:hAnsi="Readex Pro" w:cs="Readex Pro"/>
        </w:rPr>
      </w:r>
    </w:p>
    <w:p>
      <w:pPr>
        <w:pBdr/>
        <w:spacing/>
        <w:ind/>
        <w:rPr>
          <w:rFonts w:ascii="Readex Pro" w:hAnsi="Readex Pro" w:cs="Readex Pro"/>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pPr>
        <w:pStyle w:val="885"/>
        <w:pBdr/>
        <w:spacing/>
        <w:ind/>
        <w:rPr>
          <w14:ligatures w14:val="none"/>
        </w:rPr>
      </w:pPr>
      <w:r/>
      <w:bookmarkStart w:id="13" w:name="_Toc13"/>
      <w:r>
        <w:t xml:space="preserve">5. Apache Kafka: </w:t>
      </w:r>
      <w:r>
        <w:t xml:space="preserve">Streaming </w:t>
      </w:r>
      <w:r>
        <w:t xml:space="preserve">de Eventos</w:t>
      </w:r>
      <w:r/>
      <w:bookmarkEnd w:id="13"/>
      <w:r/>
      <w:r>
        <w:rPr>
          <w14:ligatures w14:val="none"/>
        </w:rPr>
      </w:r>
    </w:p>
    <w:p>
      <w:pPr>
        <w:pStyle w:val="886"/>
        <w:pBdr/>
        <w:spacing/>
        <w:ind w:firstLine="0"/>
        <w:rPr>
          <w14:ligatures w14:val="none"/>
        </w:rPr>
      </w:pPr>
      <w:r/>
      <w:bookmarkStart w:id="14" w:name="_Toc14"/>
      <w:r>
        <w:t xml:space="preserve">5.1. Fundamentos e Adequação ao Problema</w:t>
      </w:r>
      <w:r/>
      <w:bookmarkEnd w:id="14"/>
      <w:r/>
      <w:r>
        <w:rPr>
          <w14:ligatures w14:val="none"/>
        </w:rPr>
      </w:r>
    </w:p>
    <w:p>
      <w:pPr>
        <w:pBdr/>
        <w:spacing/>
        <w:ind w:firstLine="720"/>
        <w:rPr>
          <w:rFonts w:ascii="Readex Pro" w:hAnsi="Readex Pro" w:cs="Readex Pro"/>
        </w:rPr>
      </w:pPr>
      <w:r>
        <w:rPr>
          <w:rFonts w:ascii="Readex Pro" w:hAnsi="Readex Pro" w:eastAsia="Readex Pro" w:cs="Readex Pro"/>
        </w:rPr>
        <w:t xml:space="preserve">O Apache Kafka</w:t>
      </w:r>
      <w:r>
        <w:rPr>
          <w:rFonts w:ascii="Readex Pro" w:hAnsi="Readex Pro" w:eastAsia="Readex Pro" w:cs="Readex Pro"/>
        </w:rPr>
        <w:t xml:space="preserve"> é uma plataforma de streaming de eventos distribuída baseada no conceito de log distribuído imutável. As mensagens publ</w:t>
      </w:r>
      <w:r>
        <w:rPr>
          <w:rFonts w:ascii="Readex Pro" w:hAnsi="Readex Pro" w:eastAsia="Readex Pro" w:cs="Readex Pro"/>
        </w:rPr>
        <w:t xml:space="preserve">icadas num tópico não são apagadas após o consumo, ficando retidas por um período configurável e identificadas por um offset numérico. Os consumidores avançam o seu offset de forma independente, o que tem duas consequências determinantes para este projeto:</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Fan-out nativo: o mesmo evento publicado pelo ApiResultados é consumido de forma completamente independente pelo ApiApostas e pelo AnalyticsService, em consumer grou</w:t>
      </w:r>
      <w:r>
        <w:rPr>
          <w:rFonts w:ascii="Readex Pro" w:hAnsi="Readex Pro" w:eastAsia="Readex Pro" w:cs="Readex Pro"/>
        </w:rPr>
        <w:t xml:space="preserve">ps distintos, sem qualquer coordenação entre eles e sem que o produtor precise de saber quantos consumidores existem. Adicionar o AnalyticsService não exigiu qualquer alteração no ApiResultados, o que ilustra o princípio Open/Closed ao nível da integração.</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Replay por offset: quando o AnalyticsService reinicia, reprocessa todo o histórico de eventos Kafka desde o offset 0 e reconstrói as suas métricas. Isto elimina a necessidade de snapshot inicial ou base de dados própria para o serviço de analytics.</w:t>
      </w:r>
      <w:r>
        <w:rPr>
          <w:rFonts w:ascii="Readex Pro" w:hAnsi="Readex Pro" w:eastAsia="Readex Pro" w:cs="Readex Pro"/>
        </w:rPr>
      </w:r>
      <w:r>
        <w:rPr>
          <w:rFonts w:ascii="Readex Pro" w:hAnsi="Readex Pro" w:cs="Readex Pro"/>
        </w:rPr>
      </w:r>
    </w:p>
    <w:p>
      <w:pPr>
        <w:pStyle w:val="886"/>
        <w:pBdr/>
        <w:spacing/>
        <w:ind/>
        <w:rPr>
          <w14:ligatures w14:val="none"/>
        </w:rPr>
      </w:pPr>
      <w:r/>
      <w:bookmarkStart w:id="15" w:name="_Toc15"/>
      <w:r>
        <w:t xml:space="preserve">5.2. Justificação da Escolha</w:t>
      </w:r>
      <w:r/>
      <w:bookmarkEnd w:id="15"/>
      <w:r/>
      <w:r>
        <w:rPr>
          <w14:ligatures w14:val="none"/>
        </w:rPr>
      </w:r>
    </w:p>
    <w:p>
      <w:pPr>
        <w:pBdr/>
        <w:spacing/>
        <w:ind w:firstLine="720"/>
        <w:rPr>
          <w:highlight w:val="white"/>
        </w:rPr>
      </w:pPr>
      <w:r>
        <w:rPr>
          <w:rFonts w:ascii="Readex Pro" w:hAnsi="Readex Pro" w:eastAsia="Readex Pro" w:cs="Readex Pro"/>
        </w:rPr>
      </w:r>
      <w:r>
        <w:rPr>
          <w:highlight w:val="white"/>
        </w:rPr>
        <w:t xml:space="preserve">Para a disseminação de eventos de jogo e aposta a múltiplos consumidores</w:t>
      </w:r>
      <w:r>
        <w:rPr>
          <w:highlight w:val="white"/>
          <w:lang w:val="pt-BR"/>
        </w:rPr>
        <w:t xml:space="preserve"> </w:t>
      </w:r>
      <w:r>
        <w:rPr>
          <w:highlight w:val="white"/>
        </w:rPr>
        <w:t xml:space="preserve">independentes, o Kafka é a escolha naturalmente adequada. O</w:t>
      </w:r>
      <w:r>
        <w:rPr>
          <w:highlight w:val="white"/>
          <w:lang w:val="pt-BR"/>
        </w:rPr>
        <w:t xml:space="preserve"> </w:t>
      </w:r>
      <w:r>
        <w:rPr>
          <w:highlight w:val="white"/>
        </w:rPr>
        <w:t xml:space="preserve">modelo de log distribuído imutável permite que o ApiResultados publique um único evento e que o ApiApostas e o Analytics</w:t>
      </w:r>
      <w:r>
        <w:rPr>
          <w:highlight w:val="white"/>
        </w:rPr>
        <w:t xml:space="preserve">Service o consumam de forma completamente independente, sem coordenação entre eles e sem que o produtor precise de saber quantos consumidores</w:t>
      </w:r>
      <w:r>
        <w:rPr>
          <w:highlight w:val="white"/>
          <w:lang w:val="pt-BR"/>
        </w:rPr>
        <w:t xml:space="preserve"> </w:t>
      </w:r>
      <w:r>
        <w:rPr>
          <w:highlight w:val="white"/>
        </w:rPr>
        <w:t xml:space="preserve">existem. Esta propriedade de fan-out nativo seria possível com RabbitMQ através de um fanout exchange, mas c</w:t>
      </w:r>
      <w:r>
        <w:rPr>
          <w:highlight w:val="white"/>
        </w:rPr>
        <w:t xml:space="preserve">om uma limitação</w:t>
      </w:r>
      <w:r>
        <w:rPr>
          <w:highlight w:val="white"/>
          <w:lang w:val="pt-BR"/>
        </w:rPr>
        <w:t xml:space="preserve"> </w:t>
      </w:r>
      <w:r>
        <w:rPr>
          <w:highlight w:val="white"/>
        </w:rPr>
        <w:t xml:space="preserve">determinante: as mensagens são apagadas após consumo, não existe replay. Se o AnalyticsService estivesse em baixo durante uma hora,</w:t>
      </w:r>
      <w:r>
        <w:rPr>
          <w:highlight w:val="white"/>
        </w:rPr>
        <w:t xml:space="preserve"> perderia todos os eventos desse período sem possibilidade de recuperação. Com Kafka, o serviço reinic</w:t>
      </w:r>
      <w:r>
        <w:rPr>
          <w:highlight w:val="white"/>
        </w:rPr>
        <w:t xml:space="preserve">ia e reprocessa o histórico completo a partir do offset 0. </w:t>
      </w:r>
      <w:r>
        <w:rPr>
          <w:highlight w:val="white"/>
        </w:rPr>
      </w:r>
    </w:p>
    <w:p w14:paraId="49655E33">
      <w:pPr>
        <w:pBdr/>
        <w:spacing/>
        <w:ind w:firstLine="720"/>
        <w:rPr>
          <w:highlight w:val="white"/>
        </w:rPr>
      </w:pPr>
      <w:r>
        <w:rPr>
          <w:highlight w:val="white"/>
        </w:rPr>
        <w:t xml:space="preserve">Para a implantação foi utilizada a imagem Docker oficial em modo KRaft, por ser mais simples de operar em ambiente containerizado do que a configuração tradicional com ZooKeeper como componen</w:t>
      </w:r>
      <w:r>
        <w:rPr>
          <w:highlight w:val="white"/>
        </w:rPr>
        <w:t xml:space="preserve">te separado.</w:t>
      </w:r>
      <w:r>
        <w:rPr>
          <w:highlight w:val="white"/>
        </w:rPr>
      </w:r>
      <w:r/>
    </w:p>
    <w:p>
      <w:pPr>
        <w:pStyle w:val="886"/>
        <w:pBdr/>
        <w:spacing/>
        <w:ind/>
        <w:rPr>
          <w14:ligatures w14:val="none"/>
        </w:rPr>
      </w:pPr>
      <w:r/>
      <w:bookmarkStart w:id="16" w:name="_Toc16"/>
      <w:r>
        <w:t xml:space="preserve">5.3. Implementação e Decisões</w:t>
      </w:r>
      <w:r/>
      <w:bookmarkEnd w:id="16"/>
      <w:r/>
      <w:r>
        <w:rPr>
          <w14:ligatures w14:val="none"/>
        </w:rPr>
      </w:r>
    </w:p>
    <w:p>
      <w:pPr>
        <w:pBdr/>
        <w:spacing/>
        <w:ind w:firstLine="720"/>
        <w:rPr>
          <w:rFonts w:ascii="Readex Pro" w:hAnsi="Readex Pro" w:cs="Readex Pro"/>
        </w:rPr>
      </w:pPr>
      <w:r>
        <w:rPr>
          <w:rFonts w:ascii="Readex Pro" w:hAnsi="Readex Pro" w:eastAsia="Readex Pro" w:cs="Readex Pro"/>
        </w:rPr>
        <w:t xml:space="preserve">O KafkaProducerServ</w:t>
      </w:r>
      <w:r>
        <w:rPr>
          <w:rFonts w:ascii="Readex Pro" w:hAnsi="Readex Pro" w:eastAsia="Readex Pro" w:cs="Readex Pro"/>
        </w:rPr>
        <w:t xml:space="preserve">ice usa o padrão fire-and-forget (Produce() assíncrono com callback de erro), sem bloquear o thread do endpoint HTTP. Esta escolha prioriza a latência da operação transacional sobre a garantia de entrega ao Kafka. É uma troca consciente: em caso de downtim</w:t>
      </w:r>
      <w:r>
        <w:rPr>
          <w:rFonts w:ascii="Readex Pro" w:hAnsi="Readex Pro" w:eastAsia="Readex Pro" w:cs="Readex Pro"/>
        </w:rPr>
        <w:t xml:space="preserve">e do Kafka, o evento perde-se. Para o caminho financeiro crítico, esta limitação é compensada pelo PendingBetsSweeper. Para as métricas do AnalyticsService, o impacto é baixo, pois uma lacuna temporária é menos grave do que atrasar todas as respostas HTTP.</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O commit de offsets é manual (EnableAutoCommit: false) no KafkaConsumerService: o offset só avança após o</w:t>
      </w:r>
      <w:r>
        <w:rPr>
          <w:rFonts w:ascii="Readex Pro" w:hAnsi="Readex Pro" w:eastAsia="Readex Pro" w:cs="Readex Pro"/>
        </w:rPr>
        <w:t xml:space="preserve"> processamento completo da mensagem, incluindo a atualização da base de dados e, se aplicável, a publicação no RabbitMQ. Isto implementa at-least-once delivery. Em caso de falha antes do commit, o Kafka reentrega a mensagem no próximo arranque do consumer.</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chave d</w:t>
      </w:r>
      <w:r>
        <w:rPr>
          <w:rFonts w:ascii="Readex Pro" w:hAnsi="Readex Pro" w:eastAsia="Readex Pro" w:cs="Readex Pro"/>
        </w:rPr>
        <w:t xml:space="preserve">e partição de cada mensagem é o CodigoJogo. Esta decisão garante que todos os eventos do mesmo jogo vão para a mesma partição, preservando a ordem de processamento: um evento game-updated com EmCurso nunca é processado antes do game-created correspondente.</w:t>
      </w:r>
      <w:r>
        <w:rPr>
          <w:rFonts w:ascii="Readex Pro" w:hAnsi="Readex Pro" w:eastAsia="Readex Pro" w:cs="Readex Pro"/>
        </w:rPr>
      </w:r>
      <w:r>
        <w:rPr>
          <w:rFonts w:ascii="Readex Pro" w:hAnsi="Readex Pro" w:cs="Readex Pro"/>
        </w:rPr>
      </w:r>
    </w:p>
    <w:p>
      <w:pPr>
        <w:pStyle w:val="886"/>
        <w:pBdr/>
        <w:spacing/>
        <w:ind/>
        <w:rPr>
          <w14:ligatures w14:val="none"/>
        </w:rPr>
      </w:pPr>
      <w:r/>
      <w:bookmarkStart w:id="17" w:name="_Toc17"/>
      <w:r>
        <w:t xml:space="preserve">5.4. Dois Tópicos, Dois Papéis</w:t>
      </w:r>
      <w:r/>
      <w:bookmarkEnd w:id="17"/>
      <w:r/>
      <w:r>
        <w:rPr>
          <w14:ligatures w14:val="none"/>
        </w:rPr>
      </w:r>
    </w:p>
    <w:tbl>
      <w:tblPr>
        <w:tblStyle w:val="945"/>
        <w:tblInd w:w="108" w:type="dxa"/>
        <w:tblW w:w="0" w:type="auto"/>
        <w:tblBorders/>
        <w:tblLayout w:type="fixed"/>
        <w:tblLook w:val="04A0" w:firstRow="1" w:lastRow="0" w:firstColumn="1" w:lastColumn="0" w:noHBand="0" w:noVBand="1"/>
      </w:tblPr>
      <w:tblGrid>
        <w:gridCol w:w="2268"/>
        <w:gridCol w:w="2268"/>
        <w:gridCol w:w="2268"/>
        <w:gridCol w:w="2268"/>
      </w:tblGrid>
      <w:tr>
        <w:trPr>
          <w:trHeight w:val="397"/>
        </w:trPr>
        <w:tc>
          <w:tcPr>
            <w:tcBorders/>
            <w:tcW w:w="2268" w:type="dxa"/>
          </w:tcPr>
          <w:p>
            <w:pPr>
              <w:pStyle w:val="897"/>
              <w:pBdr/>
              <w:spacing/>
              <w:ind/>
              <w:jc w:val="center"/>
              <w:rPr>
                <w:rFonts w:ascii="Readex Pro" w:hAnsi="Readex Pro" w:cs="Readex Pro"/>
              </w:rPr>
            </w:pPr>
            <w:r>
              <w:rPr>
                <w:rFonts w:ascii="Readex Pro" w:hAnsi="Readex Pro" w:eastAsia="Readex Pro" w:cs="Readex Pro"/>
                <w:b/>
              </w:rPr>
              <w:t xml:space="preserve">Tópico</w:t>
            </w:r>
            <w:r>
              <w:rPr>
                <w:rFonts w:ascii="Readex Pro" w:hAnsi="Readex Pro" w:eastAsia="Readex Pro" w:cs="Readex Pro"/>
              </w:rPr>
            </w:r>
            <w:r>
              <w:rPr>
                <w:rFonts w:ascii="Readex Pro" w:hAnsi="Readex Pro" w:cs="Readex Pro"/>
              </w:rPr>
            </w:r>
          </w:p>
        </w:tc>
        <w:tc>
          <w:tcPr>
            <w:tcBorders/>
            <w:tcW w:w="2268" w:type="dxa"/>
          </w:tcPr>
          <w:p>
            <w:pPr>
              <w:pStyle w:val="897"/>
              <w:pBdr/>
              <w:spacing/>
              <w:ind/>
              <w:jc w:val="center"/>
              <w:rPr>
                <w:rFonts w:ascii="Readex Pro" w:hAnsi="Readex Pro" w:cs="Readex Pro"/>
              </w:rPr>
            </w:pPr>
            <w:r>
              <w:rPr>
                <w:rFonts w:ascii="Readex Pro" w:hAnsi="Readex Pro" w:eastAsia="Readex Pro" w:cs="Readex Pro"/>
                <w:b/>
              </w:rPr>
              <w:t xml:space="preserve">Produtor</w:t>
            </w:r>
            <w:r>
              <w:rPr>
                <w:rFonts w:ascii="Readex Pro" w:hAnsi="Readex Pro" w:eastAsia="Readex Pro" w:cs="Readex Pro"/>
              </w:rPr>
            </w:r>
            <w:r>
              <w:rPr>
                <w:rFonts w:ascii="Readex Pro" w:hAnsi="Readex Pro" w:cs="Readex Pro"/>
              </w:rPr>
            </w:r>
          </w:p>
        </w:tc>
        <w:tc>
          <w:tcPr>
            <w:tcBorders/>
            <w:tcW w:w="2268" w:type="dxa"/>
          </w:tcPr>
          <w:p>
            <w:pPr>
              <w:pStyle w:val="897"/>
              <w:pBdr/>
              <w:spacing/>
              <w:ind/>
              <w:jc w:val="center"/>
              <w:rPr>
                <w:rFonts w:ascii="Readex Pro" w:hAnsi="Readex Pro" w:cs="Readex Pro"/>
              </w:rPr>
            </w:pPr>
            <w:r>
              <w:rPr>
                <w:rFonts w:ascii="Readex Pro" w:hAnsi="Readex Pro" w:eastAsia="Readex Pro" w:cs="Readex Pro"/>
                <w:b/>
              </w:rPr>
              <w:t xml:space="preserve">Consumidores</w:t>
            </w:r>
            <w:r>
              <w:rPr>
                <w:rFonts w:ascii="Readex Pro" w:hAnsi="Readex Pro" w:eastAsia="Readex Pro" w:cs="Readex Pro"/>
              </w:rPr>
            </w:r>
            <w:r>
              <w:rPr>
                <w:rFonts w:ascii="Readex Pro" w:hAnsi="Readex Pro" w:cs="Readex Pro"/>
              </w:rPr>
            </w:r>
          </w:p>
        </w:tc>
        <w:tc>
          <w:tcPr>
            <w:tcBorders/>
            <w:tcW w:w="2268" w:type="dxa"/>
          </w:tcPr>
          <w:p>
            <w:pPr>
              <w:pStyle w:val="897"/>
              <w:pBdr/>
              <w:spacing/>
              <w:ind/>
              <w:jc w:val="center"/>
              <w:rPr>
                <w:rFonts w:ascii="Readex Pro" w:hAnsi="Readex Pro" w:cs="Readex Pro"/>
              </w:rPr>
            </w:pPr>
            <w:r>
              <w:rPr>
                <w:rFonts w:ascii="Readex Pro" w:hAnsi="Readex Pro" w:eastAsia="Readex Pro" w:cs="Readex Pro"/>
                <w:b/>
              </w:rPr>
              <w:t xml:space="preserve">Eventos</w:t>
            </w:r>
            <w:r>
              <w:rPr>
                <w:rFonts w:ascii="Readex Pro" w:hAnsi="Readex Pro" w:eastAsia="Readex Pro" w:cs="Readex Pro"/>
              </w:rPr>
            </w:r>
            <w:r>
              <w:rPr>
                <w:rFonts w:ascii="Readex Pro" w:hAnsi="Readex Pro" w:cs="Readex Pro"/>
              </w:rPr>
            </w:r>
          </w:p>
        </w:tc>
      </w:tr>
      <w:tr>
        <w:trPr>
          <w:trHeight w:val="1134"/>
        </w:trPr>
        <w:tc>
          <w:tcPr>
            <w:tcBorders/>
            <w:tcW w:w="2268" w:type="dxa"/>
          </w:tcPr>
          <w:p>
            <w:pPr>
              <w:pStyle w:val="897"/>
              <w:pBdr/>
              <w:spacing/>
              <w:ind/>
              <w:rPr>
                <w:rFonts w:ascii="Readex Pro" w:hAnsi="Readex Pro" w:cs="Readex Pro"/>
              </w:rPr>
            </w:pPr>
            <w:r>
              <w:rPr>
                <w:rFonts w:ascii="Readex Pro" w:hAnsi="Readex Pro" w:eastAsia="Readex Pro" w:cs="Readex Pro"/>
              </w:rPr>
              <w:t xml:space="preserve">game-events</w:t>
            </w:r>
            <w:r>
              <w:rPr>
                <w:rFonts w:ascii="Readex Pro" w:hAnsi="Readex Pro" w:eastAsia="Readex Pro" w:cs="Readex Pro"/>
              </w:rPr>
            </w:r>
            <w:r>
              <w:rPr>
                <w:rFonts w:ascii="Readex Pro" w:hAnsi="Readex Pro" w:cs="Readex Pro"/>
              </w:rPr>
            </w:r>
          </w:p>
        </w:tc>
        <w:tc>
          <w:tcPr>
            <w:tcBorders/>
            <w:tcW w:w="2268" w:type="dxa"/>
          </w:tcPr>
          <w:p>
            <w:pPr>
              <w:pStyle w:val="897"/>
              <w:pBdr/>
              <w:spacing/>
              <w:ind/>
              <w:rPr>
                <w:rFonts w:ascii="Readex Pro" w:hAnsi="Readex Pro" w:cs="Readex Pro"/>
              </w:rPr>
            </w:pPr>
            <w:r>
              <w:rPr>
                <w:rFonts w:ascii="Readex Pro" w:hAnsi="Readex Pro" w:eastAsia="Readex Pro" w:cs="Readex Pro"/>
              </w:rPr>
              <w:t xml:space="preserve">ApiResultados</w:t>
            </w:r>
            <w:r>
              <w:rPr>
                <w:rFonts w:ascii="Readex Pro" w:hAnsi="Readex Pro" w:eastAsia="Readex Pro" w:cs="Readex Pro"/>
              </w:rPr>
            </w:r>
            <w:r>
              <w:rPr>
                <w:rFonts w:ascii="Readex Pro" w:hAnsi="Readex Pro" w:cs="Readex Pro"/>
              </w:rPr>
            </w:r>
          </w:p>
        </w:tc>
        <w:tc>
          <w:tcPr>
            <w:tcBorders/>
            <w:tcW w:w="2268" w:type="dxa"/>
          </w:tcPr>
          <w:p>
            <w:pPr>
              <w:pStyle w:val="897"/>
              <w:pBdr/>
              <w:spacing/>
              <w:ind/>
              <w:rPr>
                <w:rFonts w:ascii="Readex Pro" w:hAnsi="Readex Pro" w:cs="Readex Pro"/>
              </w:rPr>
            </w:pPr>
            <w:r>
              <w:rPr>
                <w:rFonts w:ascii="Readex Pro" w:hAnsi="Readex Pro" w:eastAsia="Readex Pro" w:cs="Readex Pro"/>
              </w:rPr>
              <w:t xml:space="preserve">ApiApostas (apiapostas-jogos)</w:t>
              <w:br/>
              <w:t xml:space="preserve">AnalyticsService (analytics)</w:t>
            </w:r>
            <w:r>
              <w:rPr>
                <w:rFonts w:ascii="Readex Pro" w:hAnsi="Readex Pro" w:eastAsia="Readex Pro" w:cs="Readex Pro"/>
              </w:rPr>
            </w:r>
            <w:r>
              <w:rPr>
                <w:rFonts w:ascii="Readex Pro" w:hAnsi="Readex Pro" w:cs="Readex Pro"/>
              </w:rPr>
            </w:r>
          </w:p>
        </w:tc>
        <w:tc>
          <w:tcPr>
            <w:tcBorders/>
            <w:tcW w:w="2268" w:type="dxa"/>
          </w:tcPr>
          <w:p>
            <w:pPr>
              <w:pStyle w:val="897"/>
              <w:pBdr/>
              <w:spacing/>
              <w:ind/>
              <w:rPr>
                <w:rFonts w:ascii="Readex Pro" w:hAnsi="Readex Pro" w:cs="Readex Pro"/>
              </w:rPr>
            </w:pPr>
            <w:r>
              <w:rPr>
                <w:rFonts w:ascii="Readex Pro" w:hAnsi="Readex Pro" w:eastAsia="Readex Pro" w:cs="Readex Pro"/>
              </w:rPr>
              <w:t xml:space="preserve">game-created, game-updated</w:t>
            </w:r>
            <w:r>
              <w:rPr>
                <w:rFonts w:ascii="Readex Pro" w:hAnsi="Readex Pro" w:eastAsia="Readex Pro" w:cs="Readex Pro"/>
              </w:rPr>
            </w:r>
            <w:r>
              <w:rPr>
                <w:rFonts w:ascii="Readex Pro" w:hAnsi="Readex Pro" w:cs="Readex Pro"/>
              </w:rPr>
            </w:r>
          </w:p>
        </w:tc>
      </w:tr>
      <w:tr>
        <w:trPr>
          <w:trHeight w:val="1134"/>
        </w:trPr>
        <w:tc>
          <w:tcPr>
            <w:tcBorders/>
            <w:tcW w:w="2268" w:type="dxa"/>
          </w:tcPr>
          <w:p>
            <w:pPr>
              <w:pStyle w:val="897"/>
              <w:pBdr/>
              <w:spacing/>
              <w:ind/>
              <w:rPr>
                <w:rFonts w:ascii="Readex Pro" w:hAnsi="Readex Pro" w:cs="Readex Pro"/>
              </w:rPr>
            </w:pPr>
            <w:r>
              <w:rPr>
                <w:rFonts w:ascii="Readex Pro" w:hAnsi="Readex Pro" w:eastAsia="Readex Pro" w:cs="Readex Pro"/>
              </w:rPr>
              <w:t xml:space="preserve">bet-events</w:t>
            </w:r>
            <w:r>
              <w:rPr>
                <w:rFonts w:ascii="Readex Pro" w:hAnsi="Readex Pro" w:eastAsia="Readex Pro" w:cs="Readex Pro"/>
              </w:rPr>
            </w:r>
            <w:r>
              <w:rPr>
                <w:rFonts w:ascii="Readex Pro" w:hAnsi="Readex Pro" w:cs="Readex Pro"/>
              </w:rPr>
            </w:r>
          </w:p>
        </w:tc>
        <w:tc>
          <w:tcPr>
            <w:tcBorders/>
            <w:tcW w:w="2268" w:type="dxa"/>
          </w:tcPr>
          <w:p>
            <w:pPr>
              <w:pStyle w:val="897"/>
              <w:pBdr/>
              <w:spacing/>
              <w:ind/>
              <w:rPr>
                <w:rFonts w:ascii="Readex Pro" w:hAnsi="Readex Pro" w:cs="Readex Pro"/>
              </w:rPr>
            </w:pPr>
            <w:r>
              <w:rPr>
                <w:rFonts w:ascii="Readex Pro" w:hAnsi="Readex Pro" w:eastAsia="Readex Pro" w:cs="Readex Pro"/>
              </w:rPr>
              <w:t xml:space="preserve">ApiApostas</w:t>
            </w:r>
            <w:r>
              <w:rPr>
                <w:rFonts w:ascii="Readex Pro" w:hAnsi="Readex Pro" w:eastAsia="Readex Pro" w:cs="Readex Pro"/>
              </w:rPr>
            </w:r>
            <w:r>
              <w:rPr>
                <w:rFonts w:ascii="Readex Pro" w:hAnsi="Readex Pro" w:cs="Readex Pro"/>
              </w:rPr>
            </w:r>
          </w:p>
        </w:tc>
        <w:tc>
          <w:tcPr>
            <w:tcBorders/>
            <w:tcW w:w="2268" w:type="dxa"/>
          </w:tcPr>
          <w:p>
            <w:pPr>
              <w:pStyle w:val="897"/>
              <w:pBdr/>
              <w:spacing/>
              <w:ind/>
              <w:rPr>
                <w:rFonts w:ascii="Readex Pro" w:hAnsi="Readex Pro" w:cs="Readex Pro"/>
              </w:rPr>
            </w:pPr>
            <w:r>
              <w:rPr>
                <w:rFonts w:ascii="Readex Pro" w:hAnsi="Readex Pro" w:eastAsia="Readex Pro" w:cs="Readex Pro"/>
              </w:rPr>
              <w:t xml:space="preserve">AnalyticsService (analytics)</w:t>
            </w:r>
            <w:r>
              <w:rPr>
                <w:rFonts w:ascii="Readex Pro" w:hAnsi="Readex Pro" w:eastAsia="Readex Pro" w:cs="Readex Pro"/>
              </w:rPr>
            </w:r>
            <w:r>
              <w:rPr>
                <w:rFonts w:ascii="Readex Pro" w:hAnsi="Readex Pro" w:cs="Readex Pro"/>
              </w:rPr>
            </w:r>
          </w:p>
        </w:tc>
        <w:tc>
          <w:tcPr>
            <w:tcBorders/>
            <w:tcW w:w="2268" w:type="dxa"/>
          </w:tcPr>
          <w:p>
            <w:pPr>
              <w:pStyle w:val="897"/>
              <w:pBdr/>
              <w:spacing/>
              <w:ind/>
              <w:rPr>
                <w:rFonts w:ascii="Readex Pro" w:hAnsi="Readex Pro" w:cs="Readex Pro"/>
              </w:rPr>
            </w:pPr>
            <w:r>
              <w:rPr>
                <w:rFonts w:ascii="Readex Pro" w:hAnsi="Readex Pro" w:eastAsia="Readex Pro" w:cs="Readex Pro"/>
              </w:rPr>
              <w:t xml:space="preserve">bet-placed, bet-cancelled, bet-resolved</w:t>
            </w:r>
            <w:r>
              <w:rPr>
                <w:rFonts w:ascii="Readex Pro" w:hAnsi="Readex Pro" w:eastAsia="Readex Pro" w:cs="Readex Pro"/>
              </w:rPr>
            </w:r>
            <w:r>
              <w:rPr>
                <w:rFonts w:ascii="Readex Pro" w:hAnsi="Readex Pro" w:cs="Readex Pro"/>
              </w:rPr>
            </w:r>
          </w:p>
        </w:tc>
      </w:tr>
    </w:tbl>
    <w:p>
      <w:pPr>
        <w:pBdr/>
        <w:spacing/>
        <w:ind/>
        <w:rPr>
          <w:rFonts w:ascii="Readex Pro" w:hAnsi="Readex Pro" w:cs="Readex Pro"/>
        </w:rPr>
      </w:pPr>
      <w:r>
        <w:rPr>
          <w:rFonts w:ascii="Readex Pro" w:hAnsi="Readex Pro" w:eastAsia="Readex Pro" w:cs="Readex Pro"/>
        </w:rPr>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O tópico bet-events permite ao AnalyticsService calcular métricas de apostas sem acesso à ba</w:t>
      </w:r>
      <w:r>
        <w:rPr>
          <w:rFonts w:ascii="Readex Pro" w:hAnsi="Readex Pro" w:eastAsia="Readex Pro" w:cs="Readex Pro"/>
        </w:rPr>
        <w:t xml:space="preserve">se de dados Apostas, respeitando o isolamento entre serviços. O campo competicao no evento bet-placed é obtido por consulta ao jogo antes de inserir a aposta, enriquecendo o evento com contexto que o AnalyticsService precisaria de ir buscar noutra chamada.</w:t>
      </w:r>
      <w:r>
        <w:rPr>
          <w:rFonts w:ascii="Readex Pro" w:hAnsi="Readex Pro" w:eastAsia="Readex Pro" w:cs="Readex Pro"/>
        </w:rPr>
      </w:r>
      <w:r>
        <w:rPr>
          <w:rFonts w:ascii="Readex Pro" w:hAnsi="Readex Pro" w:cs="Readex Pro"/>
        </w:rPr>
      </w:r>
    </w:p>
    <w:p>
      <w:pPr>
        <w:pStyle w:val="886"/>
        <w:pBdr/>
        <w:spacing/>
        <w:ind/>
        <w:rPr>
          <w14:ligatures w14:val="none"/>
        </w:rPr>
      </w:pPr>
      <w:r/>
      <w:bookmarkStart w:id="18" w:name="_Toc18"/>
      <w:r>
        <w:t xml:space="preserve">5.5. Análise do </w:t>
      </w:r>
      <w:r>
        <w:t xml:space="preserve">Fluxo </w:t>
      </w:r>
      <w:r>
        <w:t xml:space="preserve">Kafka</w:t>
      </w:r>
      <w:r/>
      <w:bookmarkEnd w:id="18"/>
      <w:r/>
      <w:r>
        <w:rPr>
          <w14:ligatures w14:val="none"/>
        </w:rPr>
      </w:r>
    </w:p>
    <w:p>
      <w:pPr>
        <w:pBdr/>
        <w:spacing/>
        <w:ind w:firstLine="720"/>
        <w:rPr>
          <w:rFonts w:ascii="Readex Pro" w:hAnsi="Readex Pro" w:cs="Readex Pro"/>
        </w:rPr>
      </w:pPr>
      <w:r>
        <w:rPr>
          <w:rFonts w:ascii="Readex Pro" w:hAnsi="Readex Pro" w:eastAsia="Readex Pro" w:cs="Readex Pro"/>
        </w:rPr>
        <w:t xml:space="preserve">A substituição do polling HTTP pelo KafkaConsumerService mudou a arquitetura de pull para push. Na Parte 1, o ApiApostas perguntava periodicamente ao ApiResultados pelo</w:t>
      </w:r>
      <w:r>
        <w:rPr>
          <w:rFonts w:ascii="Readex Pro" w:hAnsi="Readex Pro" w:eastAsia="Readex Pro" w:cs="Readex Pro"/>
        </w:rPr>
        <w:t xml:space="preserve"> estado mais recente, criando carga desnecessária e latência variável. Na Parte 2, o ApiResultados notifica proativamente todos os consumidores interessados no momento em que o estado muda, com latência inferior a 1 segundo na esmagadora maioria dos casos.</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limitação mais importante é o fire-and-forget no produtor. Se o Kafka estiver em ba</w:t>
      </w:r>
      <w:r>
        <w:rPr>
          <w:rFonts w:ascii="Readex Pro" w:hAnsi="Readex Pro" w:eastAsia="Readex Pro" w:cs="Readex Pro"/>
        </w:rPr>
        <w:t xml:space="preserve">ixo durante uma atualização de jogo, o evento perde-se e os consumidores nunca o recebem. O cenário 1 dos testes de resiliência confirmou este comportamento. O Outbox Pattern resolveria esta limitação, mas foi excluído do âmbito por complexidade adicional.</w:t>
      </w:r>
      <w:r>
        <w:rPr>
          <w:rFonts w:ascii="Readex Pro" w:hAnsi="Readex Pro" w:eastAsia="Readex Pro" w:cs="Readex Pro"/>
        </w:rPr>
      </w:r>
      <w:r>
        <w:rPr>
          <w:rFonts w:ascii="Readex Pro" w:hAnsi="Readex Pro" w:cs="Readex Pro"/>
        </w:rPr>
      </w:r>
    </w:p>
    <w:p>
      <w:pPr>
        <w:pBdr/>
        <w:spacing/>
        <w:ind/>
        <w:rPr>
          <w:rFonts w:ascii="Readex Pro" w:hAnsi="Readex Pro" w:cs="Readex Pro"/>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pPr>
        <w:pStyle w:val="885"/>
        <w:pBdr/>
        <w:spacing/>
        <w:ind/>
        <w:rPr>
          <w14:ligatures w14:val="none"/>
        </w:rPr>
      </w:pPr>
      <w:r/>
      <w:bookmarkStart w:id="19" w:name="_Toc19"/>
      <w:r>
        <w:t xml:space="preserve">6. RabbitMQ: Filas de Trabalho</w:t>
      </w:r>
      <w:r/>
      <w:bookmarkEnd w:id="19"/>
      <w:r/>
      <w:r>
        <w:rPr>
          <w14:ligatures w14:val="none"/>
        </w:rPr>
      </w:r>
    </w:p>
    <w:p>
      <w:pPr>
        <w:pStyle w:val="886"/>
        <w:pBdr/>
        <w:spacing/>
        <w:ind/>
        <w:rPr>
          <w14:ligatures w14:val="none"/>
        </w:rPr>
      </w:pPr>
      <w:r/>
      <w:bookmarkStart w:id="20" w:name="_Toc20"/>
      <w:r>
        <w:t xml:space="preserve">6.1. Fundamentos e Adequação ao Problema</w:t>
      </w:r>
      <w:r/>
      <w:bookmarkEnd w:id="20"/>
      <w:r/>
      <w:r>
        <w:rPr>
          <w14:ligatures w14:val="none"/>
        </w:rPr>
      </w:r>
    </w:p>
    <w:p>
      <w:pPr>
        <w:pBdr/>
        <w:spacing/>
        <w:ind w:firstLine="720"/>
        <w:rPr>
          <w:rFonts w:ascii="Readex Pro" w:hAnsi="Readex Pro" w:cs="Readex Pro"/>
        </w:rPr>
      </w:pPr>
      <w:r>
        <w:rPr>
          <w:rFonts w:ascii="Readex Pro" w:hAnsi="Readex Pro" w:eastAsia="Readex Pro" w:cs="Readex Pro"/>
        </w:rPr>
        <w:t xml:space="preserve">O RabbitMQ é um message broker baseado no protocolo AMQP, com semântica de work queue: cada mensagem é entregu</w:t>
      </w:r>
      <w:r>
        <w:rPr>
          <w:rFonts w:ascii="Readex Pro" w:hAnsi="Readex Pro" w:eastAsia="Readex Pro" w:cs="Readex Pro"/>
        </w:rPr>
        <w:t xml:space="preserve">e a exatamente um consumidor, que confirma o processamento com ACK explícito. As mensagens são removidas da fila após o ACK. O modelo é diferente do Kafka: não se trata de disseminar eventos, mas de delegar trabalho a um worker que o processa ao seu ritmo.</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resolução de apostas é o caso de uso perfeito para uma work queue: quando um jogo termina, existe uma tarefa pesada e bem delimitada, resolver todas as apostas pendentes desse jogo, calcular prémios e creditar saldos. Esta tarefa não deve ser exe</w:t>
      </w:r>
      <w:r>
        <w:rPr>
          <w:rFonts w:ascii="Readex Pro" w:hAnsi="Readex Pro" w:eastAsia="Readex Pro" w:cs="Readex Pro"/>
        </w:rPr>
        <w:t xml:space="preserve">cutada no thread do KafkaConsumerService (prolongaria o tempo de commit do offset), não deve ser duplicada (dois workers não podem resolver o mesmo jogo duas vezes), e deve ser retentada em caso de falha. O RabbitMQ satisfaz os três requisitos nativamente.</w:t>
      </w:r>
      <w:r>
        <w:rPr>
          <w:rFonts w:ascii="Readex Pro" w:hAnsi="Readex Pro" w:eastAsia="Readex Pro" w:cs="Readex Pro"/>
        </w:rPr>
      </w:r>
      <w:r>
        <w:rPr>
          <w:rFonts w:ascii="Readex Pro" w:hAnsi="Readex Pro" w:cs="Readex Pro"/>
        </w:rPr>
      </w:r>
    </w:p>
    <w:p>
      <w:pPr>
        <w:pStyle w:val="886"/>
        <w:pBdr/>
        <w:spacing/>
        <w:ind/>
        <w:rPr>
          <w14:ligatures w14:val="none"/>
        </w:rPr>
      </w:pPr>
      <w:r/>
      <w:bookmarkStart w:id="21" w:name="_Toc21"/>
      <w:r>
        <w:t xml:space="preserve">6.2. Justificação da Escolha</w:t>
      </w:r>
      <w:r/>
      <w:bookmarkEnd w:id="21"/>
      <w:r/>
      <w:r>
        <w:rPr>
          <w14:ligatures w14:val="none"/>
        </w:rPr>
      </w:r>
    </w:p>
    <w:p>
      <w:pPr>
        <w:pBdr/>
        <w:spacing/>
        <w:ind w:firstLine="720"/>
        <w:rPr>
          <w:rFonts w:ascii="Readex Pro" w:hAnsi="Readex Pro" w:cs="Readex Pro"/>
        </w:rPr>
      </w:pPr>
      <w:r>
        <w:rPr>
          <w:rFonts w:ascii="Readex Pro" w:hAnsi="Readex Pro" w:eastAsia="Readex Pro" w:cs="Readex Pro"/>
        </w:rPr>
        <w:t xml:space="preserve">O Kafka poderia ser usado como work queue, bastaria ter um único consumer group com um único consumer. Mas a semântica é menos natural: o ACK no Kafka é um commit de offset que afeta todas as mensagens a</w:t>
      </w:r>
      <w:r>
        <w:rPr>
          <w:rFonts w:ascii="Readex Pro" w:hAnsi="Readex Pro" w:eastAsia="Readex Pro" w:cs="Readex Pro"/>
        </w:rPr>
        <w:t xml:space="preserve">té esse ponto, e não há Dead Letter Queue nativa. O RabbitMQ tem ACK/NACK por mensagem individual, prefetchCount para backpressure controlado, e DLQ automática, tudo o que se precisa para um worker robusto com retry e isolamento de mensagens problemáticas.</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Para além da adequação técnica, o RabbitMQ é uma tecnologia com a qual a eq</w:t>
      </w:r>
      <w:r>
        <w:rPr>
          <w:rFonts w:ascii="Readex Pro" w:hAnsi="Readex Pro" w:eastAsia="Readex Pro" w:cs="Readex Pro"/>
        </w:rPr>
        <w:t xml:space="preserve">uipa já estava familiarizada. Foi utilizado na unidade curricular de Sistemas Distribuídos na licenciatura, o que reduziu a curva de aprendizagem e permitiu focar o esforço na integração com os restantes componentes em vez de na aprendizagem da ferramenta.</w:t>
      </w:r>
      <w:r>
        <w:rPr>
          <w:rFonts w:ascii="Readex Pro" w:hAnsi="Readex Pro" w:eastAsia="Readex Pro" w:cs="Readex Pro"/>
        </w:rPr>
      </w:r>
      <w:r>
        <w:rPr>
          <w:rFonts w:ascii="Readex Pro" w:hAnsi="Readex Pro" w:cs="Readex Pro"/>
        </w:rPr>
      </w:r>
    </w:p>
    <w:p>
      <w:pPr>
        <w:pStyle w:val="886"/>
        <w:pBdr/>
        <w:spacing/>
        <w:ind/>
        <w:rPr>
          <w14:ligatures w14:val="none"/>
        </w:rPr>
      </w:pPr>
      <w:r/>
      <w:bookmarkStart w:id="22" w:name="_Toc22"/>
      <w:r>
        <w:t xml:space="preserve">6.3. Configuração e Estratégia de Retry</w:t>
      </w:r>
      <w:r/>
      <w:bookmarkEnd w:id="22"/>
      <w:r/>
      <w:r>
        <w:rPr>
          <w14:ligatures w14:val="none"/>
        </w:rPr>
      </w:r>
    </w:p>
    <w:p>
      <w:pPr>
        <w:pBdr/>
        <w:spacing/>
        <w:ind w:firstLine="720"/>
        <w:rPr>
          <w:rFonts w:ascii="Readex Pro" w:hAnsi="Readex Pro" w:cs="Readex Pro"/>
        </w:rPr>
      </w:pPr>
      <w:r>
        <w:rPr>
          <w:rFonts w:ascii="Readex Pro" w:hAnsi="Readex Pro" w:eastAsia="Readex Pro" w:cs="Readex Pro"/>
        </w:rPr>
        <w:t xml:space="preserve">A fila bet-resolution é configurada como durable (so</w:t>
      </w:r>
      <w:r>
        <w:rPr>
          <w:rFonts w:ascii="Readex Pro" w:hAnsi="Readex Pro" w:eastAsia="Readex Pro" w:cs="Readex Pro"/>
        </w:rPr>
        <w:t xml:space="preserve">brevive a restart do broker) com mensagens persistent (gravadas em disco). O TTL de 60 segundos garante que mensagens não processadas nesse tempo são movidas para a Dead Letter Queue, evitando que fiquem presas indefinidamente se o worker estiver em baixo.</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O retry após falha usa um header próprio x-retry-count em vez de Ba</w:t>
      </w:r>
      <w:r>
        <w:rPr>
          <w:rFonts w:ascii="Readex Pro" w:hAnsi="Readex Pro" w:eastAsia="Readex Pro" w:cs="Readex Pro"/>
        </w:rPr>
        <w:t xml:space="preserve">sicNack(requeue:true). A razão é técnica: o RabbitMQ não permite alterar headers de uma mensagem existente. Para incrementar o contador de tentativas, é necessário publicar uma nova mensagem com o header atualizado e dar ACK à original. O header x-death, p</w:t>
      </w:r>
      <w:r>
        <w:rPr>
          <w:rFonts w:ascii="Readex Pro" w:hAnsi="Readex Pro" w:eastAsia="Readex Pro" w:cs="Readex Pro"/>
        </w:rPr>
        <w:t xml:space="preserve">reenchido automaticamente pelo broker, só é populado após passagem pela DLQ, tornando-o inutilizável no caminho normal de retry. Após 3 falhas, BasicNack(requeue:false) encaminha a mensagem para a DLQ via Dead Letter Exchange configurado na fila principal.</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O prefetchCount igual a 1 implementa backpressure: o work</w:t>
      </w:r>
      <w:r>
        <w:rPr>
          <w:rFonts w:ascii="Readex Pro" w:hAnsi="Readex Pro" w:eastAsia="Readex Pro" w:cs="Readex Pro"/>
        </w:rPr>
        <w:t xml:space="preserve">er só aceita a mensagem seguinte depois de confirmar a atual. Isto evita que o worker acumule mensagens em memória se o processamento for lento, e garante que a fila reflete o trabalho real por processar, útil para monitorização via RabbitMQ Management UI.</w:t>
      </w:r>
      <w:r>
        <w:rPr>
          <w:rFonts w:ascii="Readex Pro" w:hAnsi="Readex Pro" w:eastAsia="Readex Pro" w:cs="Readex Pro"/>
        </w:rPr>
      </w:r>
      <w:r>
        <w:rPr>
          <w:rFonts w:ascii="Readex Pro" w:hAnsi="Readex Pro" w:cs="Readex Pro"/>
        </w:rPr>
      </w:r>
    </w:p>
    <w:p>
      <w:pPr>
        <w:pStyle w:val="886"/>
        <w:pBdr/>
        <w:spacing/>
        <w:ind/>
        <w:rPr>
          <w14:ligatures w14:val="none"/>
        </w:rPr>
      </w:pPr>
      <w:r/>
      <w:bookmarkStart w:id="23" w:name="_Toc23"/>
      <w:r>
        <w:t xml:space="preserve">6.4. BetResolutionWorker: Fluxo Completo</w:t>
      </w:r>
      <w:r/>
      <w:bookmarkEnd w:id="23"/>
      <w:r/>
      <w:r>
        <w:rPr>
          <w14:ligatures w14:val="none"/>
        </w:rPr>
      </w:r>
    </w:p>
    <w:tbl>
      <w:tblPr>
        <w:jc w:val="center"/>
        <w:tblW w:w="0" w:type="auto"/>
        <w:tblBorders/>
        <w:tblLook w:val="04A0" w:firstRow="1" w:lastRow="0" w:firstColumn="1" w:lastColumn="0" w:noHBand="0" w:noVBand="1"/>
      </w:tblPr>
      <w:tblGrid>
        <w:gridCol w:w="9406"/>
      </w:tblGrid>
      <w:tr>
        <w:trPr/>
        <w:tc>
          <w:tcPr>
            <w:shd w:val="clear" w:color="ffffff" w:fill="f0deaf"/>
            <w:tcBorders>
              <w:top w:val="single" w:color="000000" w:sz="8" w:space="0"/>
              <w:left w:val="single" w:color="000000" w:sz="8" w:space="0"/>
              <w:bottom w:val="nil" w:color="000000" w:sz="8" w:space="0"/>
              <w:right w:val="single" w:color="000000" w:sz="8" w:space="0"/>
            </w:tcBorders>
            <w:tcMar>
              <w:left w:w="160" w:type="dxa"/>
              <w:top w:w="60" w:type="dxa"/>
              <w:right w:w="160" w:type="dxa"/>
              <w:bottom w:w="60" w:type="dxa"/>
            </w:tcMar>
            <w:tcW w:w="9406" w:type="dxa"/>
          </w:tcPr>
          <w:p w14:paraId="09560AE0">
            <w:pPr>
              <w:pBdr/>
              <w:spacing w:after="40" w:before="40"/>
              <w:ind/>
              <w:jc w:val="center"/>
              <w:rPr>
                <w:rFonts w:ascii="JetBrains Mono" w:hAnsi="JetBrains Mono" w:cs="JetBrains Mono"/>
                <w:sz w:val="20"/>
                <w:szCs w:val="20"/>
              </w:rPr>
            </w:pPr>
            <w:r>
              <w:rPr>
                <w:rFonts w:ascii="JetBrains Mono" w:hAnsi="JetBrains Mono" w:eastAsia="JetBrains Mono" w:cs="JetBrains Mono"/>
                <w:b/>
                <w:color w:val="1a1a1a"/>
                <w:sz w:val="18"/>
                <w:szCs w:val="20"/>
              </w:rPr>
              <w:t xml:space="preserve">KafkaConsumerService</w:t>
            </w:r>
            <w:r>
              <w:rPr>
                <w:rFonts w:ascii="JetBrains Mono" w:hAnsi="JetBrains Mono" w:eastAsia="JetBrains Mono" w:cs="JetBrains Mono"/>
                <w:sz w:val="20"/>
                <w:szCs w:val="20"/>
              </w:rPr>
            </w:r>
            <w:r>
              <w:rPr>
                <w:rFonts w:ascii="JetBrains Mono" w:hAnsi="JetBrains Mono" w:eastAsia="JetBrains Mono" w:cs="JetBrains Mono"/>
                <w:sz w:val="20"/>
                <w:szCs w:val="20"/>
              </w:rPr>
            </w:r>
          </w:p>
        </w:tc>
      </w:tr>
      <w:tr>
        <w:trPr/>
        <w:tc>
          <w:tcPr>
            <w:shd w:val="clear" w:color="ffffff" w:fill="ffffff"/>
            <w:tcBorders>
              <w:top w:val="nil" w:color="000000" w:sz="8" w:space="0"/>
              <w:left w:val="single" w:color="000000" w:sz="8" w:space="0"/>
              <w:bottom w:val="single" w:color="000000" w:sz="8" w:space="0"/>
              <w:right w:val="single" w:color="000000" w:sz="8" w:space="0"/>
            </w:tcBorders>
            <w:tcMar>
              <w:left w:w="180" w:type="dxa"/>
              <w:top w:w="80" w:type="dxa"/>
              <w:right w:w="180" w:type="dxa"/>
              <w:bottom w:w="80" w:type="dxa"/>
            </w:tcMar>
            <w:tcW w:w="9406" w:type="dxa"/>
          </w:tcPr>
          <w:p w14:paraId="45BE2251">
            <w:pPr>
              <w:pBdr/>
              <w:spacing w:after="20" w:before="20"/>
              <w:ind w:left="0"/>
              <w:rPr>
                <w:rFonts w:ascii="JetBrains Mono" w:hAnsi="JetBrains Mono" w:cs="JetBrains Mono"/>
                <w:sz w:val="18"/>
                <w:szCs w:val="18"/>
              </w:rPr>
            </w:pPr>
            <w:r>
              <w:rPr>
                <w:rFonts w:ascii="JetBrains Mono" w:hAnsi="JetBrains Mono" w:eastAsia="JetBrains Mono" w:cs="JetBrains Mono"/>
                <w:b w:val="0"/>
                <w:sz w:val="18"/>
                <w:szCs w:val="18"/>
              </w:rPr>
              <w:t xml:space="preserve">recebe game-updated  (estado = Finalizado)</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6D655E99">
            <w:pPr>
              <w:pBdr/>
              <w:spacing w:after="20" w:before="20"/>
              <w:ind w:left="0"/>
              <w:rPr>
                <w:rFonts w:ascii="JetBrains Mono" w:hAnsi="JetBrains Mono" w:cs="JetBrains Mono"/>
                <w:sz w:val="18"/>
                <w:szCs w:val="18"/>
              </w:rPr>
            </w:pPr>
            <w:r>
              <w:rPr>
                <w:rFonts w:ascii="JetBrains Mono" w:hAnsi="JetBrains Mono" w:eastAsia="JetBrains Mono" w:cs="JetBrains Mono"/>
                <w:b w:val="0"/>
                <w:sz w:val="18"/>
                <w:szCs w:val="18"/>
              </w:rPr>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49D0D6C2">
            <w:pPr>
              <w:pBdr/>
              <w:spacing w:after="20" w:before="20"/>
              <w:ind w:left="255"/>
              <w:rPr>
                <w:rFonts w:ascii="JetBrains Mono" w:hAnsi="JetBrains Mono" w:cs="JetBrains Mono"/>
                <w:sz w:val="18"/>
                <w:szCs w:val="18"/>
              </w:rPr>
            </w:pPr>
            <w:r>
              <w:rPr>
                <w:rFonts w:ascii="JetBrains Mono" w:hAnsi="JetBrains Mono" w:eastAsia="JetBrains Mono" w:cs="JetBrains Mono"/>
                <w:b w:val="0"/>
                <w:sz w:val="18"/>
                <w:szCs w:val="18"/>
              </w:rPr>
              <w:t xml:space="preserve">sp_AtualizarJogo</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1ACBD77C">
            <w:pPr>
              <w:pBdr/>
              <w:spacing w:after="20" w:before="20"/>
              <w:ind w:left="510"/>
              <w:rPr>
                <w:rFonts w:ascii="JetBrains Mono" w:hAnsi="JetBrains Mono" w:cs="JetBrains Mono"/>
                <w:sz w:val="18"/>
                <w:szCs w:val="18"/>
              </w:rPr>
            </w:pPr>
            <w:r>
              <w:rPr>
                <w:rFonts w:ascii="JetBrains Mono" w:hAnsi="JetBrains Mono" w:eastAsia="JetBrains Mono" w:cs="JetBrains Mono"/>
                <w:b w:val="0"/>
                <w:sz w:val="18"/>
                <w:szCs w:val="18"/>
              </w:rPr>
              <w:t xml:space="preserve">→ classifica apostas: Ganha / Perdida / Anulada</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1E3CA49A">
            <w:pPr>
              <w:pBdr/>
              <w:spacing w:after="20" w:before="20"/>
              <w:ind w:left="510"/>
              <w:rPr>
                <w:rFonts w:ascii="JetBrains Mono" w:hAnsi="JetBrains Mono" w:cs="JetBrains Mono"/>
                <w:sz w:val="18"/>
                <w:szCs w:val="18"/>
              </w:rPr>
            </w:pPr>
            <w:r>
              <w:rPr>
                <w:rFonts w:ascii="JetBrains Mono" w:hAnsi="JetBrains Mono" w:eastAsia="JetBrains Mono" w:cs="JetBrains Mono"/>
                <w:b w:val="0"/>
                <w:sz w:val="18"/>
                <w:szCs w:val="18"/>
              </w:rPr>
              <w:t xml:space="preserve">→ PagamentoPendente = 1 nas ganhadoras e anuladas</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34AF8260">
            <w:pPr>
              <w:pBdr/>
              <w:spacing w:after="20" w:before="20"/>
              <w:ind w:left="0"/>
              <w:rPr>
                <w:rFonts w:ascii="JetBrains Mono" w:hAnsi="JetBrains Mono" w:cs="JetBrains Mono"/>
                <w:sz w:val="18"/>
                <w:szCs w:val="18"/>
              </w:rPr>
            </w:pPr>
            <w:r>
              <w:rPr>
                <w:rFonts w:ascii="JetBrains Mono" w:hAnsi="JetBrains Mono" w:eastAsia="JetBrains Mono" w:cs="JetBrains Mono"/>
                <w:b w:val="0"/>
                <w:sz w:val="18"/>
                <w:szCs w:val="18"/>
              </w:rPr>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34EF9B3C">
            <w:pPr>
              <w:pBdr/>
              <w:spacing w:after="20" w:before="20"/>
              <w:ind w:left="255"/>
              <w:rPr>
                <w:rFonts w:ascii="JetBrains Mono" w:hAnsi="JetBrains Mono" w:cs="JetBrains Mono"/>
                <w:sz w:val="18"/>
                <w:szCs w:val="18"/>
              </w:rPr>
            </w:pPr>
            <w:r>
              <w:rPr>
                <w:rFonts w:ascii="JetBrains Mono" w:hAnsi="JetBrains Mono" w:eastAsia="JetBrains Mono" w:cs="JetBrains Mono"/>
                <w:b w:val="0"/>
                <w:sz w:val="18"/>
                <w:szCs w:val="18"/>
              </w:rPr>
              <w:t xml:space="preserve">publica em RabbitMQ:</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132A4D61">
            <w:pPr>
              <w:pBdr/>
              <w:spacing w:after="20" w:before="20"/>
              <w:ind w:left="510"/>
              <w:rPr>
                <w:rFonts w:ascii="JetBrains Mono" w:hAnsi="JetBrains Mono" w:cs="JetBrains Mono"/>
                <w:sz w:val="18"/>
                <w:szCs w:val="18"/>
              </w:rPr>
            </w:pPr>
            <w:r>
              <w:rPr>
                <w:rFonts w:ascii="JetBrains Mono" w:hAnsi="JetBrains Mono" w:eastAsia="JetBrains Mono" w:cs="JetBrains Mono"/>
                <w:b w:val="0"/>
                <w:sz w:val="18"/>
                <w:szCs w:val="18"/>
              </w:rPr>
              <w:t xml:space="preserve">{ eventId: GUID, codigoJogo, estadoJogo }</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6B1F4BA6">
            <w:pPr>
              <w:pBdr/>
              <w:spacing w:after="20" w:before="20"/>
              <w:ind w:left="0"/>
              <w:rPr>
                <w:rFonts w:ascii="JetBrains Mono" w:hAnsi="JetBrains Mono" w:cs="JetBrains Mono"/>
                <w:sz w:val="18"/>
                <w:szCs w:val="18"/>
              </w:rPr>
            </w:pPr>
            <w:r>
              <w:rPr>
                <w:rFonts w:ascii="JetBrains Mono" w:hAnsi="JetBrains Mono" w:eastAsia="JetBrains Mono" w:cs="JetBrains Mono"/>
                <w:b w:val="0"/>
                <w:sz w:val="18"/>
                <w:szCs w:val="18"/>
              </w:rPr>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7518A61A">
            <w:pPr>
              <w:pBdr/>
              <w:spacing w:after="20" w:before="20"/>
              <w:ind w:left="255"/>
              <w:rPr>
                <w:rFonts w:ascii="JetBrains Mono" w:hAnsi="JetBrains Mono" w:cs="JetBrains Mono"/>
                <w:sz w:val="18"/>
                <w:szCs w:val="18"/>
              </w:rPr>
            </w:pPr>
            <w:r>
              <w:rPr>
                <w:rFonts w:ascii="JetBrains Mono" w:hAnsi="JetBrains Mono" w:eastAsia="JetBrains Mono" w:cs="JetBrains Mono"/>
                <w:b w:val="0"/>
                <w:color w:val="648250"/>
                <w:sz w:val="18"/>
                <w:szCs w:val="18"/>
              </w:rPr>
              <w:t xml:space="preserve">commit offset Kafka  ← consumer livre para a próxima mensagem</w:t>
            </w:r>
            <w:r>
              <w:rPr>
                <w:rFonts w:ascii="JetBrains Mono" w:hAnsi="JetBrains Mono" w:eastAsia="JetBrains Mono" w:cs="JetBrains Mono"/>
                <w:sz w:val="18"/>
                <w:szCs w:val="18"/>
              </w:rPr>
            </w:r>
            <w:r>
              <w:rPr>
                <w:rFonts w:ascii="JetBrains Mono" w:hAnsi="JetBrains Mono" w:eastAsia="JetBrains Mono" w:cs="JetBrains Mono"/>
                <w:sz w:val="18"/>
                <w:szCs w:val="18"/>
              </w:rPr>
            </w:r>
          </w:p>
        </w:tc>
      </w:tr>
    </w:tbl>
    <w:p w14:paraId="39A2084F">
      <w:pPr>
        <w:pBdr/>
        <w:spacing w:after="60" w:before="60" w:line="240" w:lineRule="auto"/>
        <w:ind/>
        <w:jc w:val="center"/>
        <w:rPr>
          <w:rFonts w:ascii="JetBrains Mono" w:hAnsi="JetBrains Mono" w:cs="JetBrains Mono"/>
        </w:rPr>
      </w:pPr>
      <w:r>
        <w:rPr>
          <w:rFonts w:ascii="JetBrains Mono" w:hAnsi="JetBrains Mono" w:eastAsia="JetBrains Mono" w:cs="JetBrains Mono"/>
          <w:color w:val="ad8638"/>
          <w:sz w:val="20"/>
        </w:rPr>
        <w:t xml:space="preserve">│</w:t>
        <w:br/>
        <w:t xml:space="preserve">[RabbitMQ: bet-resolution]</w:t>
        <w:br/>
      </w:r>
      <w:r>
        <w:rPr>
          <w:rFonts w:ascii="JetBrains Mono" w:hAnsi="JetBrains Mono" w:eastAsia="JetBrains Mono" w:cs="JetBrains Mono"/>
          <w:color w:val="ad8638"/>
          <w:sz w:val="20"/>
        </w:rPr>
        <w:t xml:space="preserve">│</w:t>
      </w:r>
      <w:r/>
      <w:r>
        <w:rPr>
          <w:rFonts w:ascii="JetBrains Mono" w:hAnsi="JetBrains Mono" w:eastAsia="JetBrains Mono" w:cs="JetBrains Mono"/>
          <w:color w:val="ad8638"/>
          <w:sz w:val="20"/>
        </w:rPr>
      </w:r>
      <w:r>
        <w:rPr>
          <w:rFonts w:ascii="JetBrains Mono" w:hAnsi="JetBrains Mono" w:eastAsia="JetBrains Mono" w:cs="JetBrains Mono"/>
        </w:rPr>
      </w:r>
      <w:r>
        <w:rPr>
          <w:rFonts w:ascii="JetBrains Mono" w:hAnsi="JetBrains Mono" w:eastAsia="JetBrains Mono" w:cs="JetBrains Mono"/>
        </w:rPr>
      </w:r>
    </w:p>
    <w:tbl>
      <w:tblPr>
        <w:jc w:val="center"/>
        <w:tblW w:w="0" w:type="auto"/>
        <w:tblBorders/>
        <w:tblLook w:val="04A0" w:firstRow="1" w:lastRow="0" w:firstColumn="1" w:lastColumn="0" w:noHBand="0" w:noVBand="1"/>
      </w:tblPr>
      <w:tblGrid>
        <w:gridCol w:w="9406"/>
      </w:tblGrid>
      <w:tr>
        <w:trPr/>
        <w:tc>
          <w:tcPr>
            <w:shd w:val="clear" w:color="ffffff" w:fill="f0deaf"/>
            <w:tcBorders>
              <w:top w:val="single" w:color="000000" w:sz="8" w:space="0"/>
              <w:left w:val="single" w:color="000000" w:sz="8" w:space="0"/>
              <w:bottom w:val="single" w:color="000000" w:sz="8" w:space="0"/>
              <w:right w:val="single" w:color="000000" w:sz="8" w:space="0"/>
            </w:tcBorders>
            <w:tcMar>
              <w:left w:w="160" w:type="dxa"/>
              <w:top w:w="60" w:type="dxa"/>
              <w:right w:w="160" w:type="dxa"/>
              <w:bottom w:w="60" w:type="dxa"/>
            </w:tcMar>
            <w:tcW w:w="9406" w:type="dxa"/>
          </w:tcPr>
          <w:p w14:paraId="5CE827E3">
            <w:pPr>
              <w:pBdr/>
              <w:spacing w:after="40" w:before="40"/>
              <w:ind/>
              <w:jc w:val="center"/>
              <w:rPr>
                <w:rFonts w:ascii="JetBrains Mono" w:hAnsi="JetBrains Mono" w:cs="JetBrains Mono"/>
                <w:sz w:val="20"/>
                <w:szCs w:val="20"/>
              </w:rPr>
            </w:pPr>
            <w:r>
              <w:rPr>
                <w:rFonts w:ascii="JetBrains Mono" w:hAnsi="JetBrains Mono" w:eastAsia="JetBrains Mono" w:cs="JetBrains Mono"/>
                <w:b/>
                <w:color w:val="1a1a1a"/>
                <w:sz w:val="18"/>
                <w:szCs w:val="20"/>
              </w:rPr>
              <w:t xml:space="preserve">BetResolutionWorker  (prefetchCount = 1)</w:t>
            </w:r>
            <w:r>
              <w:rPr>
                <w:rFonts w:ascii="JetBrains Mono" w:hAnsi="JetBrains Mono" w:eastAsia="JetBrains Mono" w:cs="JetBrains Mono"/>
                <w:sz w:val="20"/>
                <w:szCs w:val="20"/>
              </w:rPr>
            </w:r>
            <w:r>
              <w:rPr>
                <w:rFonts w:ascii="JetBrains Mono" w:hAnsi="JetBrains Mono" w:eastAsia="JetBrains Mono" w:cs="JetBrains Mono"/>
                <w:sz w:val="20"/>
                <w:szCs w:val="20"/>
              </w:rPr>
            </w:r>
          </w:p>
        </w:tc>
      </w:tr>
      <w:tr>
        <w:trPr/>
        <w:tc>
          <w:tcPr>
            <w:shd w:val="clear" w:color="ffffff" w:fill="ffffff"/>
            <w:tcBorders>
              <w:top w:val="single" w:color="000000" w:sz="8" w:space="0"/>
              <w:left w:val="single" w:color="000000" w:sz="8" w:space="0"/>
              <w:bottom w:val="single" w:color="000000" w:sz="8" w:space="0"/>
              <w:right w:val="single" w:color="000000" w:sz="8" w:space="0"/>
            </w:tcBorders>
            <w:tcMar>
              <w:left w:w="180" w:type="dxa"/>
              <w:top w:w="80" w:type="dxa"/>
              <w:right w:w="180" w:type="dxa"/>
              <w:bottom w:w="80" w:type="dxa"/>
            </w:tcMar>
            <w:tcW w:w="9406" w:type="dxa"/>
          </w:tcPr>
          <w:p w14:paraId="02D5E346">
            <w:pPr>
              <w:pBdr/>
              <w:spacing w:after="20" w:before="20"/>
              <w:ind w:left="0"/>
              <w:rPr>
                <w:rFonts w:ascii="JetBrains Mono" w:hAnsi="JetBrains Mono" w:cs="JetBrains Mono"/>
                <w:sz w:val="18"/>
                <w:szCs w:val="18"/>
              </w:rPr>
            </w:pPr>
            <w:r>
              <w:rPr>
                <w:rFonts w:ascii="JetBrains Mono" w:hAnsi="JetBrains Mono" w:eastAsia="JetBrains Mono" w:cs="JetBrains Mono"/>
                <w:b/>
                <w:sz w:val="18"/>
                <w:szCs w:val="18"/>
              </w:rPr>
              <w:t xml:space="preserve">1.  sp_TentarRegistarEvento(EventId)</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44C8AF76">
            <w:pPr>
              <w:pBdr/>
              <w:spacing w:after="20" w:before="20"/>
              <w:ind w:left="510"/>
              <w:rPr>
                <w:rFonts w:ascii="JetBrains Mono" w:hAnsi="JetBrains Mono" w:cs="JetBrains Mono"/>
                <w:sz w:val="18"/>
                <w:szCs w:val="18"/>
              </w:rPr>
            </w:pPr>
            <w:r>
              <w:rPr>
                <w:rFonts w:ascii="JetBrains Mono" w:hAnsi="JetBrains Mono" w:eastAsia="JetBrains Mono" w:cs="JetBrains Mono"/>
                <w:b w:val="0"/>
                <w:color w:val="a05050"/>
                <w:sz w:val="18"/>
                <w:szCs w:val="18"/>
              </w:rPr>
              <w:t xml:space="preserve">se duplicado → BasicAck silencioso, return</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04481684">
            <w:pPr>
              <w:pBdr/>
              <w:spacing w:after="20" w:before="20"/>
              <w:ind w:left="0"/>
              <w:rPr>
                <w:rFonts w:ascii="JetBrains Mono" w:hAnsi="JetBrains Mono" w:cs="JetBrains Mono"/>
                <w:sz w:val="18"/>
                <w:szCs w:val="18"/>
              </w:rPr>
            </w:pPr>
            <w:r>
              <w:rPr>
                <w:rFonts w:ascii="JetBrains Mono" w:hAnsi="JetBrains Mono" w:eastAsia="JetBrains Mono" w:cs="JetBrains Mono"/>
                <w:b w:val="0"/>
                <w:sz w:val="18"/>
                <w:szCs w:val="18"/>
              </w:rPr>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05586E8B">
            <w:pPr>
              <w:pBdr/>
              <w:spacing w:after="20" w:before="20"/>
              <w:ind w:left="0"/>
              <w:rPr>
                <w:rFonts w:ascii="JetBrains Mono" w:hAnsi="JetBrains Mono" w:cs="JetBrains Mono"/>
                <w:sz w:val="18"/>
                <w:szCs w:val="18"/>
              </w:rPr>
            </w:pPr>
            <w:r>
              <w:rPr>
                <w:rFonts w:ascii="JetBrains Mono" w:hAnsi="JetBrains Mono" w:eastAsia="JetBrains Mono" w:cs="JetBrains Mono"/>
                <w:b/>
                <w:sz w:val="18"/>
                <w:szCs w:val="18"/>
              </w:rPr>
              <w:t xml:space="preserve">2.  ProcessarPagamentosPendentesAsync</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2D501A58">
            <w:pPr>
              <w:pBdr/>
              <w:spacing w:after="20" w:before="20"/>
              <w:ind w:left="510"/>
              <w:rPr>
                <w:rFonts w:ascii="JetBrains Mono" w:hAnsi="JetBrains Mono" w:cs="JetBrains Mono"/>
                <w:sz w:val="18"/>
                <w:szCs w:val="18"/>
              </w:rPr>
            </w:pPr>
            <w:r>
              <w:rPr>
                <w:rFonts w:ascii="JetBrains Mono" w:hAnsi="JetBrains Mono" w:eastAsia="JetBrains Mono" w:cs="JetBrains Mono"/>
                <w:b w:val="0"/>
                <w:sz w:val="18"/>
                <w:szCs w:val="18"/>
              </w:rPr>
              <w:t xml:space="preserve">Ganha   → POST /api/pagamentos  (PG,  montante × odd)</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1A260164">
            <w:pPr>
              <w:pBdr/>
              <w:spacing w:after="20" w:before="20"/>
              <w:ind w:left="510"/>
              <w:rPr>
                <w:rFonts w:ascii="JetBrains Mono" w:hAnsi="JetBrains Mono" w:cs="JetBrains Mono"/>
                <w:sz w:val="18"/>
                <w:szCs w:val="18"/>
              </w:rPr>
            </w:pPr>
            <w:r>
              <w:rPr>
                <w:rFonts w:ascii="JetBrains Mono" w:hAnsi="JetBrains Mono" w:eastAsia="JetBrains Mono" w:cs="JetBrains Mono"/>
                <w:b w:val="0"/>
                <w:sz w:val="18"/>
                <w:szCs w:val="18"/>
              </w:rPr>
              <w:t xml:space="preserve">Anulada → POST /api/pagamentos  (RE,  montante)</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6C4FABB6">
            <w:pPr>
              <w:pBdr/>
              <w:spacing w:after="20" w:before="20"/>
              <w:ind w:left="510"/>
              <w:rPr>
                <w:rFonts w:ascii="JetBrains Mono" w:hAnsi="JetBrains Mono" w:cs="JetBrains Mono"/>
                <w:sz w:val="18"/>
                <w:szCs w:val="18"/>
              </w:rPr>
            </w:pPr>
            <w:r>
              <w:rPr>
                <w:rFonts w:ascii="JetBrains Mono" w:hAnsi="JetBrains Mono" w:eastAsia="JetBrains Mono" w:cs="JetBrains Mono"/>
                <w:b w:val="0"/>
                <w:sz w:val="18"/>
                <w:szCs w:val="18"/>
              </w:rPr>
              <w:t xml:space="preserve">sp_MarcarPagamentoProcessado</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5EE31151">
            <w:pPr>
              <w:pBdr/>
              <w:spacing w:after="20" w:before="20"/>
              <w:ind w:left="0"/>
              <w:rPr>
                <w:rFonts w:ascii="JetBrains Mono" w:hAnsi="JetBrains Mono" w:cs="JetBrains Mono"/>
                <w:sz w:val="18"/>
                <w:szCs w:val="18"/>
              </w:rPr>
            </w:pPr>
            <w:r>
              <w:rPr>
                <w:rFonts w:ascii="JetBrains Mono" w:hAnsi="JetBrains Mono" w:eastAsia="JetBrains Mono" w:cs="JetBrains Mono"/>
                <w:b w:val="0"/>
                <w:sz w:val="18"/>
                <w:szCs w:val="18"/>
              </w:rPr>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78F18394">
            <w:pPr>
              <w:pBdr/>
              <w:spacing w:after="20" w:before="20"/>
              <w:ind w:left="0"/>
              <w:rPr>
                <w:rFonts w:ascii="JetBrains Mono" w:hAnsi="JetBrains Mono" w:cs="JetBrains Mono"/>
                <w:sz w:val="18"/>
                <w:szCs w:val="18"/>
              </w:rPr>
            </w:pPr>
            <w:r>
              <w:rPr>
                <w:rFonts w:ascii="JetBrains Mono" w:hAnsi="JetBrains Mono" w:eastAsia="JetBrains Mono" w:cs="JetBrains Mono"/>
                <w:b/>
                <w:sz w:val="18"/>
                <w:szCs w:val="18"/>
              </w:rPr>
              <w:t xml:space="preserve">3.  publica bet-resolved em [Kafka: bet-events]</w:t>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7731ADA2">
            <w:pPr>
              <w:pBdr/>
              <w:spacing w:after="20" w:before="20"/>
              <w:ind w:left="0"/>
              <w:rPr>
                <w:rFonts w:ascii="JetBrains Mono" w:hAnsi="JetBrains Mono" w:cs="JetBrains Mono"/>
                <w:sz w:val="18"/>
                <w:szCs w:val="18"/>
              </w:rPr>
            </w:pPr>
            <w:r>
              <w:rPr>
                <w:rFonts w:ascii="JetBrains Mono" w:hAnsi="JetBrains Mono" w:eastAsia="JetBrains Mono" w:cs="JetBrains Mono"/>
                <w:b w:val="0"/>
                <w:sz w:val="18"/>
                <w:szCs w:val="18"/>
              </w:rPr>
            </w:r>
            <w:r>
              <w:rPr>
                <w:rFonts w:ascii="JetBrains Mono" w:hAnsi="JetBrains Mono" w:eastAsia="JetBrains Mono" w:cs="JetBrains Mono"/>
                <w:sz w:val="18"/>
                <w:szCs w:val="18"/>
              </w:rPr>
            </w:r>
            <w:r>
              <w:rPr>
                <w:rFonts w:ascii="JetBrains Mono" w:hAnsi="JetBrains Mono" w:eastAsia="JetBrains Mono" w:cs="JetBrains Mono"/>
                <w:sz w:val="18"/>
                <w:szCs w:val="18"/>
              </w:rPr>
            </w:r>
          </w:p>
          <w:p w14:paraId="61A4A2DC">
            <w:pPr>
              <w:pBdr/>
              <w:spacing w:after="20" w:before="20"/>
              <w:ind w:left="0"/>
              <w:rPr>
                <w:rFonts w:ascii="JetBrains Mono" w:hAnsi="JetBrains Mono" w:cs="JetBrains Mono"/>
                <w:sz w:val="18"/>
                <w:szCs w:val="18"/>
              </w:rPr>
            </w:pPr>
            <w:r>
              <w:rPr>
                <w:rFonts w:ascii="JetBrains Mono" w:hAnsi="JetBrains Mono" w:eastAsia="JetBrains Mono" w:cs="JetBrains Mono"/>
                <w:b/>
                <w:color w:val="648250"/>
                <w:sz w:val="18"/>
                <w:szCs w:val="18"/>
              </w:rPr>
              <w:t xml:space="preserve">4.  BasicAck</w:t>
            </w:r>
            <w:r>
              <w:rPr>
                <w:rFonts w:ascii="JetBrains Mono" w:hAnsi="JetBrains Mono" w:eastAsia="JetBrains Mono" w:cs="JetBrains Mono"/>
                <w:sz w:val="18"/>
                <w:szCs w:val="18"/>
              </w:rPr>
            </w:r>
            <w:r>
              <w:rPr>
                <w:rFonts w:ascii="JetBrains Mono" w:hAnsi="JetBrains Mono" w:eastAsia="JetBrains Mono" w:cs="JetBrains Mono"/>
                <w:sz w:val="18"/>
                <w:szCs w:val="18"/>
              </w:rPr>
            </w:r>
          </w:p>
        </w:tc>
      </w:tr>
    </w:tbl>
    <w:p>
      <w:pPr>
        <w:pStyle w:val="886"/>
        <w:pBdr/>
        <w:spacing/>
        <w:ind/>
        <w:rPr>
          <w:highlight w:val="none"/>
          <w14:ligatures w14:val="none"/>
        </w:rPr>
      </w:pPr>
      <w:r/>
      <w:bookmarkStart w:id="24" w:name="_Toc24"/>
      <w:r>
        <w:t xml:space="preserve">6.5. Análise do Fluxo RabbitMQ</w:t>
      </w:r>
      <w:r/>
      <w:bookmarkEnd w:id="24"/>
      <w:r/>
      <w:r>
        <w:rPr>
          <w14:ligatures w14:val="none"/>
        </w:rPr>
      </w:r>
    </w:p>
    <w:p>
      <w:pPr>
        <w:pBdr/>
        <w:spacing/>
        <w:ind w:firstLine="720"/>
        <w:rPr>
          <w:rFonts w:ascii="Readex Pro" w:hAnsi="Readex Pro" w:cs="Readex Pro"/>
        </w:rPr>
      </w:pPr>
      <w:r>
        <w:rPr>
          <w:rFonts w:ascii="Readex Pro" w:hAnsi="Readex Pro" w:eastAsia="Readex Pro" w:cs="Readex Pro"/>
        </w:rPr>
        <w:t xml:space="preserve">A delegação da resolução de apostas para o BetResolutionWorker via RabbitMQ desacoplou completamente a atualização de jogos do processamento finan</w:t>
      </w:r>
      <w:r>
        <w:rPr>
          <w:rFonts w:ascii="Readex Pro" w:hAnsi="Readex Pro" w:eastAsia="Readex Pro" w:cs="Readex Pro"/>
        </w:rPr>
        <w:t xml:space="preserve">ceiro. O KafkaConsumerService trata do evento Kafka, publica na fila e faz commit do offset em milissegundos, independentemente de quantas apostas precisam de ser resolvidas. O BetResolutionWorker processa uma mensagem de cada vez, sem pressão de latência.</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O cenário de falha mais crítico, ApiPagamentos em baixo, demonstrou o comportamento do retry: 3 tentativas com header x-retry-count incrementado, seguidas de encaminhamento para a DLQ. A mensagem </w:t>
      </w:r>
      <w:r>
        <w:rPr>
          <w:rFonts w:ascii="Readex Pro" w:hAnsi="Readex Pro" w:eastAsia="Readex Pro" w:cs="Readex Pro"/>
        </w:rPr>
        <w:t xml:space="preserve">na DLQ pode ser inspecionada e re-injetada manualmente após resolução do problema. Este comportamento exige intervenção manual, o que é uma limitação real. Uma melhoria futura seria um Dead Letter Consumer com espera exponencial para re-injeção automática.</w:t>
      </w:r>
      <w:r>
        <w:rPr>
          <w:rFonts w:ascii="Readex Pro" w:hAnsi="Readex Pro" w:eastAsia="Readex Pro" w:cs="Readex Pro"/>
        </w:rPr>
      </w:r>
      <w:r>
        <w:rPr>
          <w:rFonts w:ascii="Readex Pro" w:hAnsi="Readex Pro" w:cs="Readex Pro"/>
        </w:rPr>
      </w:r>
    </w:p>
    <w:p>
      <w:pPr>
        <w:pBdr/>
        <w:spacing/>
        <w:ind/>
        <w:rPr>
          <w:rFonts w:ascii="Readex Pro" w:hAnsi="Readex Pro" w:cs="Readex Pro"/>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pPr>
        <w:pStyle w:val="885"/>
        <w:pBdr/>
        <w:spacing/>
        <w:ind/>
        <w:rPr>
          <w14:ligatures w14:val="none"/>
        </w:rPr>
      </w:pPr>
      <w:r/>
      <w:bookmarkStart w:id="25" w:name="_Toc25"/>
      <w:r>
        <w:t xml:space="preserve">7. Idempotência e Resiliência</w:t>
      </w:r>
      <w:r/>
      <w:bookmarkEnd w:id="25"/>
      <w:r/>
      <w:r>
        <w:rPr>
          <w14:ligatures w14:val="none"/>
        </w:rPr>
      </w:r>
    </w:p>
    <w:p>
      <w:pPr>
        <w:pStyle w:val="886"/>
        <w:pBdr/>
        <w:spacing/>
        <w:ind/>
        <w:rPr>
          <w14:ligatures w14:val="none"/>
        </w:rPr>
      </w:pPr>
      <w:r/>
      <w:bookmarkStart w:id="26" w:name="_Toc26"/>
      <w:r>
        <w:t xml:space="preserve">7.1. O Problema da Deduplicação</w:t>
      </w:r>
      <w:r/>
      <w:bookmarkEnd w:id="26"/>
      <w:r/>
      <w:r>
        <w:rPr>
          <w14:ligatures w14:val="none"/>
        </w:rPr>
      </w:r>
    </w:p>
    <w:p>
      <w:pPr>
        <w:pBdr/>
        <w:spacing/>
        <w:ind w:firstLine="720"/>
        <w:rPr>
          <w:rFonts w:ascii="Readex Pro" w:hAnsi="Readex Pro" w:cs="Readex Pro"/>
        </w:rPr>
      </w:pPr>
      <w:r>
        <w:rPr>
          <w:rFonts w:ascii="Readex Pro" w:hAnsi="Readex Pro" w:eastAsia="Readex Pro" w:cs="Readex Pro"/>
        </w:rPr>
        <w:t xml:space="preserve">Com at-least-once delivery em amb</w:t>
      </w:r>
      <w:r>
        <w:rPr>
          <w:rFonts w:ascii="Readex Pro" w:hAnsi="Readex Pro" w:eastAsia="Readex Pro" w:cs="Readex Pro"/>
        </w:rPr>
        <w:t xml:space="preserve">as as camadas de middleware, a mesma mensagem pode chegar mais do que uma vez. Para o AnalyticsService isto é irrelevante. Para o BetResolutionWorker é crítico: processar duas vezes a resolução do mesmo jogo significaria creditar o mesmo prémio duas vezes.</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solução é o padrão Idempotency Key: cada mensagem bet-resolution inclui um EventId (GUID) gerado no momento da publicação. O worker verifica este identificador contra a tabela EventosProcessados antes de proce</w:t>
      </w:r>
      <w:r>
        <w:rPr>
          <w:rFonts w:ascii="Readex Pro" w:hAnsi="Readex Pro" w:eastAsia="Readex Pro" w:cs="Readex Pro"/>
        </w:rPr>
        <w:t xml:space="preserve">ssar. A verificação usa INSERT com tratamento de violação de chave primária, e não SELECT seguido de INSERT, que teria uma janela de race condition entre as duas operações. A PK garante que dois threads concorrentes não conseguem ambos "ganhar" a inserção.</w:t>
      </w:r>
      <w:r>
        <w:rPr>
          <w:rFonts w:ascii="Readex Pro" w:hAnsi="Readex Pro" w:eastAsia="Readex Pro" w:cs="Readex Pro"/>
        </w:rPr>
      </w:r>
      <w:r>
        <w:rPr>
          <w:rFonts w:ascii="Readex Pro" w:hAnsi="Readex Pro" w:cs="Readex Pro"/>
        </w:rPr>
      </w:r>
    </w:p>
    <w:p>
      <w:pPr>
        <w:pStyle w:val="886"/>
        <w:pBdr/>
        <w:spacing/>
        <w:ind/>
        <w:rPr>
          <w14:ligatures w14:val="none"/>
        </w:rPr>
      </w:pPr>
      <w:r/>
      <w:bookmarkStart w:id="27" w:name="_Toc27"/>
      <w:r>
        <w:t xml:space="preserve">7.2. PendingBetsSweeper: Camada de Segurança</w:t>
      </w:r>
      <w:r/>
      <w:bookmarkEnd w:id="27"/>
      <w:r/>
      <w:r>
        <w:rPr>
          <w14:ligatures w14:val="none"/>
        </w:rPr>
      </w:r>
    </w:p>
    <w:p>
      <w:pPr>
        <w:pBdr/>
        <w:spacing/>
        <w:ind w:firstLine="720"/>
        <w:rPr>
          <w:rFonts w:ascii="Readex Pro" w:hAnsi="Readex Pro" w:cs="Readex Pro"/>
        </w:rPr>
      </w:pPr>
      <w:r>
        <w:rPr>
          <w:rFonts w:ascii="Readex Pro" w:hAnsi="Readex Pro" w:eastAsia="Readex Pro" w:cs="Readex Pro"/>
        </w:rPr>
        <w:t xml:space="preserve">O PendingBetsSweeper é um BackgroundService com ciclo de 30 segundos que quebra a dependência entre a resolução de apostas e o estado momentâneo do RabbitMQ. Consulta todas as apostas com PagamentoPendente igua</w:t>
      </w:r>
      <w:r>
        <w:rPr>
          <w:rFonts w:ascii="Readex Pro" w:hAnsi="Readex Pro" w:eastAsia="Readex Pro" w:cs="Readex Pro"/>
        </w:rPr>
        <w:t xml:space="preserve">l a 1, agrupa por jogo, e para jogos em estado terminal republica a mensagem de resolução com um novo EventId. A idempotência garante que, mesmo que o BetResolutionWorker já tenha processado o jogo entretanto, a mensagem duplicada é descartada sem efeitos.</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Este padrão, sweeper periódico indepe</w:t>
      </w:r>
      <w:r>
        <w:rPr>
          <w:rFonts w:ascii="Readex Pro" w:hAnsi="Readex Pro" w:eastAsia="Readex Pro" w:cs="Readex Pro"/>
        </w:rPr>
        <w:t xml:space="preserve">ndente como safety net, é preferível a depender exclusivamente do retry automático do middleware porque é agnóstico relativamente ao estado do broker. Funciona mesmo que o RabbitMQ tenha estado em baixo por um período mais longo do que o TTL das mensagens.</w:t>
      </w:r>
      <w:r>
        <w:rPr>
          <w:rFonts w:ascii="Readex Pro" w:hAnsi="Readex Pro" w:eastAsia="Readex Pro" w:cs="Readex Pro"/>
        </w:rPr>
      </w:r>
      <w:r>
        <w:rPr>
          <w:rFonts w:ascii="Readex Pro" w:hAnsi="Readex Pro" w:cs="Readex Pro"/>
        </w:rPr>
      </w:r>
    </w:p>
    <w:p>
      <w:pPr>
        <w:pStyle w:val="886"/>
        <w:pBdr/>
        <w:spacing/>
        <w:ind/>
        <w:rPr>
          <w14:ligatures w14:val="none"/>
        </w:rPr>
      </w:pPr>
      <w:r/>
      <w:bookmarkStart w:id="28" w:name="_Toc28"/>
      <w:r>
        <w:t xml:space="preserve">7.3. Comportamento sob Falhas</w:t>
      </w:r>
      <w:r/>
      <w:bookmarkEnd w:id="28"/>
      <w:r/>
      <w:r>
        <w:rPr>
          <w14:ligatures w14:val="none"/>
        </w:rPr>
      </w:r>
    </w:p>
    <w:tbl>
      <w:tblPr>
        <w:tblStyle w:val="945"/>
        <w:tblW w:w="0" w:type="auto"/>
        <w:tblBorders/>
        <w:tblLayout w:type="fixed"/>
        <w:tblLook w:val="04A0" w:firstRow="1" w:lastRow="0" w:firstColumn="1" w:lastColumn="0" w:noHBand="0" w:noVBand="1"/>
      </w:tblPr>
      <w:tblGrid>
        <w:gridCol w:w="3060"/>
        <w:gridCol w:w="3060"/>
        <w:gridCol w:w="3060"/>
      </w:tblGrid>
      <w:tr>
        <w:trPr/>
        <w:tc>
          <w:tcPr>
            <w:tcBorders/>
            <w:tcW w:w="3060" w:type="dxa"/>
          </w:tcPr>
          <w:p>
            <w:pPr>
              <w:pStyle w:val="897"/>
              <w:pBdr/>
              <w:spacing/>
              <w:ind/>
              <w:jc w:val="center"/>
              <w:rPr>
                <w:rFonts w:ascii="Readex Pro" w:hAnsi="Readex Pro" w:cs="Readex Pro"/>
              </w:rPr>
            </w:pPr>
            <w:r>
              <w:rPr>
                <w:rFonts w:ascii="Readex Pro" w:hAnsi="Readex Pro" w:eastAsia="Readex Pro" w:cs="Readex Pro"/>
                <w:b/>
              </w:rPr>
              <w:t xml:space="preserve">Componente</w:t>
            </w:r>
            <w:r>
              <w:rPr>
                <w:rFonts w:ascii="Readex Pro" w:hAnsi="Readex Pro" w:eastAsia="Readex Pro" w:cs="Readex Pro"/>
              </w:rPr>
            </w:r>
            <w:r>
              <w:rPr>
                <w:rFonts w:ascii="Readex Pro" w:hAnsi="Readex Pro" w:cs="Readex Pro"/>
              </w:rPr>
            </w:r>
          </w:p>
        </w:tc>
        <w:tc>
          <w:tcPr>
            <w:tcBorders/>
            <w:tcW w:w="3060" w:type="dxa"/>
          </w:tcPr>
          <w:p>
            <w:pPr>
              <w:pStyle w:val="897"/>
              <w:pBdr/>
              <w:spacing/>
              <w:ind/>
              <w:jc w:val="center"/>
              <w:rPr>
                <w:rFonts w:ascii="Readex Pro" w:hAnsi="Readex Pro" w:cs="Readex Pro"/>
              </w:rPr>
            </w:pPr>
            <w:r>
              <w:rPr>
                <w:rFonts w:ascii="Readex Pro" w:hAnsi="Readex Pro" w:eastAsia="Readex Pro" w:cs="Readex Pro"/>
                <w:b/>
              </w:rPr>
              <w:t xml:space="preserve">Comportamento</w:t>
            </w:r>
            <w:r>
              <w:rPr>
                <w:rFonts w:ascii="Readex Pro" w:hAnsi="Readex Pro" w:eastAsia="Readex Pro" w:cs="Readex Pro"/>
              </w:rPr>
            </w:r>
            <w:r>
              <w:rPr>
                <w:rFonts w:ascii="Readex Pro" w:hAnsi="Readex Pro" w:cs="Readex Pro"/>
              </w:rPr>
            </w:r>
          </w:p>
        </w:tc>
        <w:tc>
          <w:tcPr>
            <w:tcBorders/>
            <w:tcW w:w="3060" w:type="dxa"/>
          </w:tcPr>
          <w:p>
            <w:pPr>
              <w:pStyle w:val="897"/>
              <w:pBdr/>
              <w:spacing/>
              <w:ind/>
              <w:jc w:val="center"/>
              <w:rPr>
                <w:rFonts w:ascii="Readex Pro" w:hAnsi="Readex Pro" w:cs="Readex Pro"/>
              </w:rPr>
            </w:pPr>
            <w:r>
              <w:rPr>
                <w:rFonts w:ascii="Readex Pro" w:hAnsi="Readex Pro" w:eastAsia="Readex Pro" w:cs="Readex Pro"/>
                <w:b/>
              </w:rPr>
              <w:t xml:space="preserve">Recovery</w:t>
            </w:r>
            <w:r>
              <w:rPr>
                <w:rFonts w:ascii="Readex Pro" w:hAnsi="Readex Pro" w:eastAsia="Readex Pro" w:cs="Readex Pro"/>
              </w:rPr>
            </w:r>
            <w:r>
              <w:rPr>
                <w:rFonts w:ascii="Readex Pro" w:hAnsi="Readex Pro" w:cs="Readex Pro"/>
              </w:rPr>
            </w:r>
          </w:p>
        </w:tc>
      </w:tr>
      <w:tr>
        <w:trPr>
          <w:trHeight w:val="1134"/>
        </w:trPr>
        <w:tc>
          <w:tcPr>
            <w:tcBorders/>
            <w:tcW w:w="3060" w:type="dxa"/>
          </w:tcPr>
          <w:p>
            <w:pPr>
              <w:pStyle w:val="897"/>
              <w:pBdr/>
              <w:spacing/>
              <w:ind/>
              <w:rPr>
                <w:rFonts w:ascii="Readex Pro" w:hAnsi="Readex Pro" w:cs="Readex Pro"/>
              </w:rPr>
            </w:pPr>
            <w:r>
              <w:rPr>
                <w:rFonts w:ascii="Readex Pro" w:hAnsi="Readex Pro" w:eastAsia="Readex Pro" w:cs="Readex Pro"/>
              </w:rPr>
              <w:t xml:space="preserve">Kafka em baixo durante publicação</w:t>
            </w:r>
            <w:r>
              <w:rPr>
                <w:rFonts w:ascii="Readex Pro" w:hAnsi="Readex Pro" w:eastAsia="Readex Pro" w:cs="Readex Pro"/>
              </w:rPr>
            </w:r>
            <w:r>
              <w:rPr>
                <w:rFonts w:ascii="Readex Pro" w:hAnsi="Readex Pro" w:cs="Readex Pro"/>
              </w:rPr>
            </w:r>
          </w:p>
        </w:tc>
        <w:tc>
          <w:tcPr>
            <w:tcBorders/>
            <w:tcW w:w="3060" w:type="dxa"/>
          </w:tcPr>
          <w:p>
            <w:pPr>
              <w:pStyle w:val="897"/>
              <w:pBdr/>
              <w:spacing/>
              <w:ind/>
              <w:rPr>
                <w:rFonts w:ascii="Readex Pro" w:hAnsi="Readex Pro" w:cs="Readex Pro"/>
              </w:rPr>
            </w:pPr>
            <w:r>
              <w:rPr>
                <w:rFonts w:ascii="Readex Pro" w:hAnsi="Readex Pro" w:eastAsia="Readex Pro" w:cs="Readex Pro"/>
              </w:rPr>
              <w:t xml:space="preserve">Evento perdido (fire-and-forget). ApiApostas não recebe atualização.</w:t>
            </w:r>
            <w:r>
              <w:rPr>
                <w:rFonts w:ascii="Readex Pro" w:hAnsi="Readex Pro" w:eastAsia="Readex Pro" w:cs="Readex Pro"/>
              </w:rPr>
            </w:r>
            <w:r>
              <w:rPr>
                <w:rFonts w:ascii="Readex Pro" w:hAnsi="Readex Pro" w:cs="Readex Pro"/>
              </w:rPr>
            </w:r>
          </w:p>
        </w:tc>
        <w:tc>
          <w:tcPr>
            <w:tcBorders/>
            <w:tcW w:w="3060" w:type="dxa"/>
          </w:tcPr>
          <w:p>
            <w:pPr>
              <w:pStyle w:val="897"/>
              <w:pBdr/>
              <w:spacing/>
              <w:ind/>
              <w:rPr>
                <w:rFonts w:ascii="Readex Pro" w:hAnsi="Readex Pro" w:cs="Readex Pro"/>
              </w:rPr>
            </w:pPr>
            <w:r>
              <w:rPr>
                <w:rFonts w:ascii="Readex Pro" w:hAnsi="Readex Pro" w:eastAsia="Readex Pro" w:cs="Readex Pro"/>
              </w:rPr>
              <w:t xml:space="preserve">Imediato após restart. Limitação conhecida sem retry no produtor.</w:t>
            </w:r>
            <w:r>
              <w:rPr>
                <w:rFonts w:ascii="Readex Pro" w:hAnsi="Readex Pro" w:eastAsia="Readex Pro" w:cs="Readex Pro"/>
              </w:rPr>
            </w:r>
            <w:r>
              <w:rPr>
                <w:rFonts w:ascii="Readex Pro" w:hAnsi="Readex Pro" w:cs="Readex Pro"/>
              </w:rPr>
            </w:r>
          </w:p>
        </w:tc>
      </w:tr>
      <w:tr>
        <w:trPr>
          <w:trHeight w:val="1417"/>
        </w:trPr>
        <w:tc>
          <w:tcPr>
            <w:tcBorders/>
            <w:tcW w:w="3060" w:type="dxa"/>
          </w:tcPr>
          <w:p>
            <w:pPr>
              <w:pStyle w:val="897"/>
              <w:pBdr/>
              <w:spacing/>
              <w:ind/>
              <w:rPr>
                <w:rFonts w:ascii="Readex Pro" w:hAnsi="Readex Pro" w:cs="Readex Pro"/>
              </w:rPr>
            </w:pPr>
            <w:r>
              <w:rPr>
                <w:rFonts w:ascii="Readex Pro" w:hAnsi="Readex Pro" w:eastAsia="Readex Pro" w:cs="Readex Pro"/>
              </w:rPr>
              <w:t xml:space="preserve">RabbitMQ em baixo durante publicação de bet-resolution</w:t>
            </w:r>
            <w:r>
              <w:rPr>
                <w:rFonts w:ascii="Readex Pro" w:hAnsi="Readex Pro" w:eastAsia="Readex Pro" w:cs="Readex Pro"/>
              </w:rPr>
            </w:r>
            <w:r>
              <w:rPr>
                <w:rFonts w:ascii="Readex Pro" w:hAnsi="Readex Pro" w:cs="Readex Pro"/>
              </w:rPr>
            </w:r>
          </w:p>
        </w:tc>
        <w:tc>
          <w:tcPr>
            <w:tcBorders/>
            <w:tcW w:w="3060" w:type="dxa"/>
          </w:tcPr>
          <w:p>
            <w:pPr>
              <w:pStyle w:val="897"/>
              <w:pBdr/>
              <w:spacing/>
              <w:ind/>
              <w:rPr>
                <w:rFonts w:ascii="Readex Pro" w:hAnsi="Readex Pro" w:cs="Readex Pro"/>
              </w:rPr>
            </w:pPr>
            <w:r>
              <w:rPr>
                <w:rFonts w:ascii="Readex Pro" w:hAnsi="Readex Pro" w:eastAsia="Readex Pro" w:cs="Readex Pro"/>
              </w:rPr>
              <w:t xml:space="preserve">KafkaConsumerService não faz commit do offset. PendingBetsSweeper republica no ciclo seguinte (30s).</w:t>
            </w:r>
            <w:r>
              <w:rPr>
                <w:rFonts w:ascii="Readex Pro" w:hAnsi="Readex Pro" w:eastAsia="Readex Pro" w:cs="Readex Pro"/>
              </w:rPr>
            </w:r>
            <w:r>
              <w:rPr>
                <w:rFonts w:ascii="Readex Pro" w:hAnsi="Readex Pro" w:cs="Readex Pro"/>
              </w:rPr>
            </w:r>
          </w:p>
        </w:tc>
        <w:tc>
          <w:tcPr>
            <w:tcBorders/>
            <w:tcW w:w="3060" w:type="dxa"/>
          </w:tcPr>
          <w:p>
            <w:pPr>
              <w:pStyle w:val="897"/>
              <w:pBdr/>
              <w:spacing/>
              <w:ind/>
              <w:rPr>
                <w:rFonts w:ascii="Readex Pro" w:hAnsi="Readex Pro" w:cs="Readex Pro"/>
              </w:rPr>
            </w:pPr>
            <w:r>
              <w:rPr>
                <w:rFonts w:ascii="Readex Pro" w:hAnsi="Readex Pro" w:eastAsia="Readex Pro" w:cs="Readex Pro"/>
              </w:rPr>
              <w:t xml:space="preserve">Automático. Saldos sempre corretos. Zero perda de apostas.</w:t>
            </w:r>
            <w:r>
              <w:rPr>
                <w:rFonts w:ascii="Readex Pro" w:hAnsi="Readex Pro" w:eastAsia="Readex Pro" w:cs="Readex Pro"/>
              </w:rPr>
            </w:r>
            <w:r>
              <w:rPr>
                <w:rFonts w:ascii="Readex Pro" w:hAnsi="Readex Pro" w:cs="Readex Pro"/>
              </w:rPr>
            </w:r>
          </w:p>
        </w:tc>
      </w:tr>
      <w:tr>
        <w:trPr>
          <w:trHeight w:val="1134"/>
        </w:trPr>
        <w:tc>
          <w:tcPr>
            <w:tcBorders/>
            <w:tcW w:w="3060" w:type="dxa"/>
          </w:tcPr>
          <w:p>
            <w:pPr>
              <w:pStyle w:val="897"/>
              <w:pBdr/>
              <w:spacing/>
              <w:ind/>
              <w:rPr>
                <w:rFonts w:ascii="Readex Pro" w:hAnsi="Readex Pro" w:cs="Readex Pro"/>
              </w:rPr>
            </w:pPr>
            <w:r>
              <w:rPr>
                <w:rFonts w:ascii="Readex Pro" w:hAnsi="Readex Pro" w:eastAsia="Readex Pro" w:cs="Readex Pro"/>
              </w:rPr>
              <w:t xml:space="preserve">ApiPagamentos em baixo durante BetResolutionWorker</w:t>
            </w:r>
            <w:r>
              <w:rPr>
                <w:rFonts w:ascii="Readex Pro" w:hAnsi="Readex Pro" w:eastAsia="Readex Pro" w:cs="Readex Pro"/>
              </w:rPr>
            </w:r>
            <w:r>
              <w:rPr>
                <w:rFonts w:ascii="Readex Pro" w:hAnsi="Readex Pro" w:cs="Readex Pro"/>
              </w:rPr>
            </w:r>
          </w:p>
        </w:tc>
        <w:tc>
          <w:tcPr>
            <w:tcBorders/>
            <w:tcW w:w="3060" w:type="dxa"/>
          </w:tcPr>
          <w:p>
            <w:pPr>
              <w:pStyle w:val="897"/>
              <w:pBdr/>
              <w:spacing/>
              <w:ind/>
              <w:rPr>
                <w:rFonts w:ascii="Readex Pro" w:hAnsi="Readex Pro" w:cs="Readex Pro"/>
              </w:rPr>
            </w:pPr>
            <w:r>
              <w:rPr>
                <w:rFonts w:ascii="Readex Pro" w:hAnsi="Readex Pro" w:eastAsia="Readex Pro" w:cs="Readex Pro"/>
              </w:rPr>
              <w:t xml:space="preserve">3 retries via x-retry-count. Após 3 falhas, mensagem vai para DLQ.</w:t>
            </w:r>
            <w:r>
              <w:rPr>
                <w:rFonts w:ascii="Readex Pro" w:hAnsi="Readex Pro" w:eastAsia="Readex Pro" w:cs="Readex Pro"/>
              </w:rPr>
            </w:r>
            <w:r>
              <w:rPr>
                <w:rFonts w:ascii="Readex Pro" w:hAnsi="Readex Pro" w:cs="Readex Pro"/>
              </w:rPr>
            </w:r>
          </w:p>
        </w:tc>
        <w:tc>
          <w:tcPr>
            <w:tcBorders/>
            <w:tcW w:w="3060" w:type="dxa"/>
          </w:tcPr>
          <w:p>
            <w:pPr>
              <w:pStyle w:val="897"/>
              <w:pBdr/>
              <w:spacing/>
              <w:ind/>
              <w:rPr>
                <w:rFonts w:ascii="Readex Pro" w:hAnsi="Readex Pro" w:cs="Readex Pro"/>
              </w:rPr>
            </w:pPr>
            <w:r>
              <w:rPr>
                <w:rFonts w:ascii="Readex Pro" w:hAnsi="Readex Pro" w:eastAsia="Readex Pro" w:cs="Readex Pro"/>
              </w:rPr>
              <w:t xml:space="preserve">Requer re-injeção manual da DLQ via RabbitMQ UI.</w:t>
            </w:r>
            <w:r>
              <w:rPr>
                <w:rFonts w:ascii="Readex Pro" w:hAnsi="Readex Pro" w:eastAsia="Readex Pro" w:cs="Readex Pro"/>
              </w:rPr>
            </w:r>
            <w:r>
              <w:rPr>
                <w:rFonts w:ascii="Readex Pro" w:hAnsi="Readex Pro" w:cs="Readex Pro"/>
              </w:rPr>
            </w:r>
          </w:p>
        </w:tc>
      </w:tr>
    </w:tbl>
    <w:p>
      <w:pPr>
        <w:pBdr/>
        <w:spacing/>
        <w:ind w:firstLine="720"/>
        <w:rPr>
          <w:rFonts w:ascii="Readex Pro" w:hAnsi="Readex Pro" w:cs="Readex Pro"/>
        </w:rPr>
      </w:pPr>
      <w:r>
        <w:rPr>
          <w:rFonts w:ascii="Readex Pro" w:hAnsi="Readex Pro" w:eastAsia="Readex Pro" w:cs="Readex Pro"/>
        </w:rPr>
        <w:t xml:space="preserve">Os resultados de resiliência confirmam que a combinação Kafka + RabbitMQ + Sweeper é suficiente para tolerar falhas temporárias de c</w:t>
      </w:r>
      <w:r>
        <w:rPr>
          <w:rFonts w:ascii="Readex Pro" w:hAnsi="Readex Pro" w:eastAsia="Readex Pro" w:cs="Readex Pro"/>
        </w:rPr>
        <w:t xml:space="preserve">omponentes sem perda de dados financeiros. O único cenário que requer intervenção manual é uma falha persistente do ApiPagamentos que exceda os 3 retries, o que implica um problema mais sério do que o próprio mecanismo de retry pode resolver autonomamente.</w:t>
      </w:r>
      <w:r>
        <w:rPr>
          <w:rFonts w:ascii="Readex Pro" w:hAnsi="Readex Pro" w:eastAsia="Readex Pro" w:cs="Readex Pro"/>
        </w:rPr>
      </w:r>
      <w:r>
        <w:rPr>
          <w:rFonts w:ascii="Readex Pro" w:hAnsi="Readex Pro" w:cs="Readex Pro"/>
        </w:rPr>
      </w:r>
    </w:p>
    <w:p>
      <w:pPr>
        <w:pBdr/>
        <w:spacing/>
        <w:ind/>
        <w:rPr>
          <w:rFonts w:ascii="Readex Pro" w:hAnsi="Readex Pro" w:cs="Readex Pro"/>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pPr>
        <w:pStyle w:val="885"/>
        <w:pBdr/>
        <w:spacing/>
        <w:ind/>
        <w:rPr>
          <w14:ligatures w14:val="none"/>
        </w:rPr>
      </w:pPr>
      <w:r/>
      <w:bookmarkStart w:id="29" w:name="_Toc29"/>
      <w:r>
        <w:t xml:space="preserve">8. Analytics, Dashboards e Alertas</w:t>
      </w:r>
      <w:r/>
      <w:bookmarkEnd w:id="29"/>
      <w:r/>
      <w:r>
        <w:rPr>
          <w14:ligatures w14:val="none"/>
        </w:rPr>
      </w:r>
    </w:p>
    <w:p>
      <w:pPr>
        <w:pStyle w:val="886"/>
        <w:pBdr/>
        <w:spacing/>
        <w:ind/>
        <w:rPr>
          <w14:ligatures w14:val="none"/>
        </w:rPr>
      </w:pPr>
      <w:r/>
      <w:bookmarkStart w:id="30" w:name="_Toc30"/>
      <w:r>
        <w:t xml:space="preserve">8.1. Abordagem Arquitetural</w:t>
      </w:r>
      <w:r/>
      <w:bookmarkEnd w:id="30"/>
      <w:r/>
      <w:r>
        <w:rPr>
          <w14:ligatures w14:val="none"/>
        </w:rPr>
      </w:r>
    </w:p>
    <w:p>
      <w:pPr>
        <w:pBdr/>
        <w:spacing/>
        <w:ind w:firstLine="720"/>
        <w:rPr>
          <w:rFonts w:ascii="Readex Pro" w:hAnsi="Readex Pro" w:cs="Readex Pro"/>
        </w:rPr>
      </w:pPr>
      <w:r>
        <w:rPr>
          <w:rFonts w:ascii="Readex Pro" w:hAnsi="Readex Pro" w:eastAsia="Readex Pro" w:cs="Readex Pro"/>
        </w:rPr>
        <w:t xml:space="preserve">O AnalyticsService é o componente que resolve a ausência de visibilidade operacional. A decisão arquitetural central foi implementá-lo como microserviço independente que consome o st</w:t>
      </w:r>
      <w:r>
        <w:rPr>
          <w:rFonts w:ascii="Readex Pro" w:hAnsi="Readex Pro" w:eastAsia="Readex Pro" w:cs="Readex Pro"/>
        </w:rPr>
        <w:t xml:space="preserve">ream Kafka, sem acesso direto às bases de dados transacionais. Esta separação implementa o padrão CQRS ao nível da infraestrutura: escritas ocorrem no caminho transacional, leituras analíticas consomem o stream de eventos derivado, sem interferência mútua.</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As métricas são mantidas em estruturas de dados concorrentes em memória com janelas temporais deslizantes. A escolha de in-memory em vez de uma base de dados analítica foi deliberada</w:t>
      </w:r>
      <w:r>
        <w:rPr>
          <w:rFonts w:ascii="Readex Pro" w:hAnsi="Readex Pro" w:eastAsia="Readex Pro" w:cs="Readex Pro"/>
        </w:rPr>
        <w:t xml:space="preserve">: as métricas de curto prazo não justificam uma dependência adicional, e o replay Kafka elimina a necessidade de snapshot persistente para recuperação. O estado é persistido em JSON a cada 30 segundos como otimização de arranque, não como fonte de verdade.</w:t>
      </w:r>
      <w:r>
        <w:rPr>
          <w:rFonts w:ascii="Readex Pro" w:hAnsi="Readex Pro" w:eastAsia="Readex Pro" w:cs="Readex Pro"/>
        </w:rPr>
      </w:r>
      <w:r>
        <w:rPr>
          <w:rFonts w:ascii="Readex Pro" w:hAnsi="Readex Pro" w:cs="Readex Pro"/>
        </w:rPr>
      </w:r>
    </w:p>
    <w:p>
      <w:pPr>
        <w:pStyle w:val="886"/>
        <w:pBdr/>
        <w:spacing/>
        <w:ind/>
        <w:rPr>
          <w14:ligatures w14:val="none"/>
        </w:rPr>
      </w:pPr>
      <w:r/>
      <w:bookmarkStart w:id="31" w:name="_Toc31"/>
      <w:r>
        <w:t xml:space="preserve">8.2. Métricas e Alertas</w:t>
      </w:r>
      <w:r/>
      <w:bookmarkEnd w:id="31"/>
      <w:r/>
      <w:r>
        <w:rPr>
          <w14:ligatures w14:val="none"/>
        </w:rPr>
      </w:r>
    </w:p>
    <w:p>
      <w:pPr>
        <w:pBdr/>
        <w:spacing/>
        <w:ind w:firstLine="720"/>
        <w:rPr>
          <w:rFonts w:ascii="Readex Pro" w:hAnsi="Readex Pro" w:cs="Readex Pro"/>
        </w:rPr>
      </w:pPr>
      <w:r>
        <w:rPr>
          <w:rFonts w:ascii="Readex Pro" w:hAnsi="Readex Pro" w:eastAsia="Readex Pro" w:cs="Readex Pro"/>
        </w:rPr>
        <w:t xml:space="preserve">O AnalyticsService calcula em contínuo: apostas por minuto e por 5 minutos, utilizadores ativos, taxas de vitória por tipo de apo</w:t>
      </w:r>
      <w:r>
        <w:rPr>
          <w:rFonts w:ascii="Readex Pro" w:hAnsi="Readex Pro" w:eastAsia="Readex Pro" w:cs="Readex Pro"/>
        </w:rPr>
        <w:t xml:space="preserve">sta (1, X, 2), volume apostado por competição, exposição financeira por jogo (soma de montante vezes odd das apostas pendentes), volume total e margem da plataforma (volume menos prémios pagos). Todas as métricas são expostas via GET /api/analytics/resumo.</w:t>
      </w:r>
      <w:r>
        <w:rPr>
          <w:rFonts w:ascii="Readex Pro" w:hAnsi="Readex Pro" w:eastAsia="Readex Pro" w:cs="Readex Pro"/>
        </w:rPr>
      </w:r>
      <w:r>
        <w:rPr>
          <w:rFonts w:ascii="Readex Pro" w:hAnsi="Readex Pro" w:cs="Readex Pro"/>
        </w:rPr>
      </w:r>
    </w:p>
    <w:p>
      <w:pPr>
        <w:pBdr/>
        <w:spacing/>
        <w:ind w:firstLine="720"/>
        <w:rPr>
          <w:rFonts w:ascii="Readex Pro" w:hAnsi="Readex Pro" w:eastAsia="Readex Pro" w:cs="Readex Pro"/>
          <w:highlight w:val="none"/>
        </w:rPr>
      </w:pPr>
      <w:r>
        <w:rPr>
          <w:rFonts w:ascii="Readex Pro" w:hAnsi="Readex Pro" w:eastAsia="Readex Pro" w:cs="Readex Pro"/>
        </w:rPr>
        <w:t xml:space="preserve">O sistema de alertas monitoriza quatro cenários anómalos com limiares configuráveis por variáveis de ambien</w:t>
      </w:r>
      <w:r>
        <w:rPr>
          <w:rFonts w:ascii="Readex Pro" w:hAnsi="Readex Pro" w:eastAsia="Readex Pro" w:cs="Readex Pro"/>
        </w:rPr>
        <w:t xml:space="preserve">te: exposição financeira elevada num jogo, cadência de apostas invulgar, e padrões anómalos de vitória ou derrota nos últimos 5 minutos. Os alertas são registados em log e acessíveis via API, satisfazendo o requisito de notificação automática do protocolo.</w:t>
      </w:r>
      <w:r>
        <w:rPr>
          <w:rFonts w:ascii="Readex Pro" w:hAnsi="Readex Pro" w:eastAsia="Readex Pro" w:cs="Readex Pro"/>
        </w:rPr>
      </w:r>
      <w:r>
        <w:rPr>
          <w:rFonts w:ascii="Readex Pro" w:hAnsi="Readex Pro" w:cs="Readex Pro"/>
        </w:rPr>
      </w:r>
    </w:p>
    <w:p w14:paraId="1972C355">
      <w:pPr>
        <w:pBdr/>
        <w:spacing/>
        <w:ind w:firstLine="0"/>
        <w:jc w:val="left"/>
        <w:rPr>
          <w:rFonts w:ascii="Readex Pro" w:hAnsi="Readex Pro" w:cs="Readex Pro"/>
        </w:rPr>
      </w:pPr>
      <w:r>
        <w:rPr>
          <w:rFonts w:ascii="Readex Pro" w:hAnsi="Readex Pro" w:eastAsia="Readex Pro" w:cs="Readex Pro"/>
          <w:highlight w:val="none"/>
        </w:rPr>
      </w:r>
      <w:r>
        <mc:AlternateContent>
          <mc:Choice Requires="wpg">
            <w:drawing>
              <wp:inline xmlns:wp="http://schemas.openxmlformats.org/drawingml/2006/wordprocessingDrawing" distT="0" distB="0" distL="0" distR="0">
                <wp:extent cx="5792470" cy="4502516"/>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12009" name=""/>
                        <pic:cNvPicPr>
                          <a:picLocks noChangeAspect="1"/>
                        </pic:cNvPicPr>
                        <pic:nvPr/>
                      </pic:nvPicPr>
                      <pic:blipFill rotWithShape="1">
                        <a:blip r:embed="rId17"/>
                        <a:stretch/>
                      </pic:blipFill>
                      <pic:spPr bwMode="auto">
                        <a:xfrm>
                          <a:off x="0" y="0"/>
                          <a:ext cx="5792469" cy="45025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6.10pt;height:354.53pt;mso-wrap-distance-left:0.00pt;mso-wrap-distance-top:0.00pt;mso-wrap-distance-right:0.00pt;mso-wrap-distance-bottom:0.00pt;z-index:1;" stroked="false">
                <v:imagedata r:id="rId17" o:title=""/>
                <o:lock v:ext="edit" rotation="t"/>
              </v:shape>
            </w:pict>
          </mc:Fallback>
        </mc:AlternateContent>
      </w:r>
      <w:r>
        <w:rPr>
          <w:rFonts w:ascii="Readex Pro" w:hAnsi="Readex Pro" w:eastAsia="Readex Pro" w:cs="Readex Pro"/>
          <w:highlight w:val="none"/>
        </w:rPr>
      </w:r>
      <w:r>
        <w:rPr>
          <w:rFonts w:ascii="Readex Pro" w:hAnsi="Readex Pro" w:eastAsia="Readex Pro" w:cs="Readex Pro"/>
          <w:highlight w:val="none"/>
        </w:rPr>
      </w:r>
      <w:r>
        <w:rPr>
          <w:rFonts w:ascii="Readex Pro" w:hAnsi="Readex Pro" w:eastAsia="Readex Pro" w:cs="Readex Pro"/>
          <w:highlight w:val="none"/>
        </w:rPr>
      </w:r>
    </w:p>
    <w:p w14:paraId="123332BA">
      <w:pPr>
        <w:pStyle w:val="934"/>
        <w:pBdr/>
        <w:spacing/>
        <w:ind w:firstLine="0"/>
        <w:rPr/>
      </w:pPr>
      <w:r>
        <w:t xml:space="preserve">Figura </w:t>
      </w:r>
      <w:r>
        <w:fldChar w:fldCharType="begin"/>
        <w:instrText xml:space="preserve"> SEQ Figura \* Arabic </w:instrText>
        <w:fldChar w:fldCharType="separate"/>
      </w:r>
      <w:r>
        <w:t xml:space="preserve">5</w:t>
      </w:r>
      <w:r/>
      <w:r>
        <w:fldChar w:fldCharType="end"/>
      </w:r>
      <w:r>
        <w:t xml:space="preserve"> - Dashboard de analytics (administrador) com resumo das métricas</w:t>
      </w:r>
      <w:r>
        <w:rPr>
          <w:lang w:val="pt-BR"/>
        </w:rPr>
        <w:t xml:space="preserve"> </w:t>
      </w:r>
      <w:r>
        <w:t xml:space="preserve">e alertas </w:t>
      </w:r>
      <w:r>
        <w:rPr>
          <w:lang w:val="pt-BR"/>
        </w:rPr>
        <w:t xml:space="preserve">em tempo real</w:t>
      </w:r>
      <w:r/>
    </w:p>
    <w:p>
      <w:pPr>
        <w:pStyle w:val="886"/>
        <w:pBdr/>
        <w:spacing/>
        <w:ind/>
        <w:rPr>
          <w14:ligatures w14:val="none"/>
        </w:rPr>
      </w:pPr>
      <w:r/>
      <w:bookmarkStart w:id="32" w:name="_Toc32"/>
      <w:r>
        <w:t xml:space="preserve">8.3. Análise da Abordagem</w:t>
      </w:r>
      <w:r/>
      <w:bookmarkEnd w:id="32"/>
      <w:r/>
      <w:r>
        <w:rPr>
          <w14:ligatures w14:val="none"/>
        </w:rPr>
      </w:r>
    </w:p>
    <w:p>
      <w:pPr>
        <w:pBdr/>
        <w:spacing/>
        <w:ind w:firstLine="720"/>
        <w:rPr>
          <w:rFonts w:ascii="Readex Pro" w:hAnsi="Readex Pro" w:cs="Readex Pro"/>
        </w:rPr>
      </w:pPr>
      <w:r>
        <w:rPr>
          <w:rFonts w:ascii="Readex Pro" w:hAnsi="Readex Pro" w:eastAsia="Readex Pro" w:cs="Readex Pro"/>
        </w:rPr>
        <w:t xml:space="preserve">A abordagem in-memory com replay Kafka é elegante mas tem uma limitação de escalabilidade: à medida que o volume de eventos históricos cresce, o tempo de reconstrução após restart aumenta. Para</w:t>
      </w:r>
      <w:r>
        <w:rPr>
          <w:rFonts w:ascii="Readex Pro" w:hAnsi="Readex Pro" w:eastAsia="Readex Pro" w:cs="Readex Pro"/>
        </w:rPr>
        <w:t xml:space="preserve"> uma plataforma com meses de histórico, o replay completo poderia demorar minutos. A solução seria combinar um snapshot periódico com replay apenas dos eventos posteriores ao snapshot, ou usar uma base de dados de séries temporais como backend persistente.</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Outro aspeto relevante é que as métricas do AnalyticsService são eventualmente consistentes: há uma latência de sub-segundo entre u</w:t>
      </w:r>
      <w:r>
        <w:rPr>
          <w:rFonts w:ascii="Readex Pro" w:hAnsi="Readex Pro" w:eastAsia="Readex Pro" w:cs="Readex Pro"/>
        </w:rPr>
        <w:t xml:space="preserve">ma aposta ser colocada e a métrica de volume ser atualizada. Para o caso de uso (dashboards operacionais), esta consistência eventual é completamente aceitável. Seria problemática apenas para decisões transacionais, que nunca devem basear-se neste serviço.</w:t>
      </w:r>
      <w:r>
        <w:rPr>
          <w:rFonts w:ascii="Readex Pro" w:hAnsi="Readex Pro" w:eastAsia="Readex Pro" w:cs="Readex Pro"/>
        </w:rPr>
      </w:r>
      <w:r>
        <w:rPr>
          <w:rFonts w:ascii="Readex Pro" w:hAnsi="Readex Pro" w:cs="Readex Pro"/>
        </w:rPr>
      </w:r>
    </w:p>
    <w:p>
      <w:pPr>
        <w:pBdr/>
        <w:spacing/>
        <w:ind/>
        <w:rPr>
          <w:rFonts w:ascii="Readex Pro" w:hAnsi="Readex Pro" w:cs="Readex Pro"/>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pPr>
        <w:pStyle w:val="885"/>
        <w:pBdr/>
        <w:spacing/>
        <w:ind/>
        <w:rPr>
          <w14:ligatures w14:val="none"/>
        </w:rPr>
      </w:pPr>
      <w:r/>
      <w:bookmarkStart w:id="33" w:name="_Toc33"/>
      <w:r>
        <w:t xml:space="preserve">9. Testes e Resultados</w:t>
      </w:r>
      <w:r/>
      <w:bookmarkEnd w:id="33"/>
      <w:r/>
      <w:r>
        <w:rPr>
          <w14:ligatures w14:val="none"/>
        </w:rPr>
      </w:r>
    </w:p>
    <w:p>
      <w:pPr>
        <w:pStyle w:val="886"/>
        <w:pBdr/>
        <w:spacing/>
        <w:ind/>
        <w:rPr>
          <w14:ligatures w14:val="none"/>
        </w:rPr>
      </w:pPr>
      <w:r/>
      <w:bookmarkStart w:id="34" w:name="_Toc34"/>
      <w:r>
        <w:t xml:space="preserve">9.1. Testes de Integração</w:t>
      </w:r>
      <w:r/>
      <w:bookmarkEnd w:id="34"/>
      <w:r/>
      <w:r>
        <w:rPr>
          <w14:ligatures w14:val="none"/>
        </w:rPr>
      </w:r>
    </w:p>
    <w:p>
      <w:pPr>
        <w:pBdr/>
        <w:spacing/>
        <w:ind w:firstLine="720"/>
        <w:rPr>
          <w:rFonts w:ascii="Readex Pro" w:hAnsi="Readex Pro" w:cs="Readex Pro"/>
        </w:rPr>
      </w:pPr>
      <w:r>
        <w:rPr>
          <w:rFonts w:ascii="Readex Pro" w:hAnsi="Readex Pro" w:eastAsia="Readex Pro" w:cs="Readex Pro"/>
        </w:rPr>
        <w:t xml:space="preserve">Uma coleção de 26 pedidos HTTP organizada em 7 pastas validou o fluxo completo contra o ambiente Docker: health checks de todos os serviços, registo e autenticação JWT, pipeline Kafka (publicação em ApiResultados e verificação de propagação em ApiAp</w:t>
      </w:r>
      <w:r>
        <w:rPr>
          <w:rFonts w:ascii="Readex Pro" w:hAnsi="Readex Pro" w:eastAsia="Readex Pro" w:cs="Readex Pro"/>
        </w:rPr>
        <w:t xml:space="preserve">ostas), colocação de apostas e verificação de métricas no AnalyticsService, resolução de apostas via RabbitMQ com verificação de crédito, cancelamento com reembolso, e estado final de analytics. Resultado: 26/26 passaram, 0 falhas, em cerca de 10 segundos.</w:t>
      </w:r>
      <w:r>
        <w:rPr>
          <w:rFonts w:ascii="Readex Pro" w:hAnsi="Readex Pro" w:eastAsia="Readex Pro" w:cs="Readex Pro"/>
        </w:rPr>
      </w:r>
      <w:r>
        <w:rPr>
          <w:rFonts w:ascii="Readex Pro" w:hAnsi="Readex Pro" w:cs="Readex Pro"/>
        </w:rPr>
      </w:r>
    </w:p>
    <w:p>
      <w:pPr>
        <w:pStyle w:val="886"/>
        <w:pBdr/>
        <w:spacing/>
        <w:ind/>
        <w:rPr>
          <w14:ligatures w14:val="none"/>
        </w:rPr>
      </w:pPr>
      <w:r/>
      <w:bookmarkStart w:id="35" w:name="_Toc35"/>
      <w:r>
        <w:t xml:space="preserve">9.2. Testes de Stress</w:t>
      </w:r>
      <w:r/>
      <w:bookmarkEnd w:id="35"/>
      <w:r/>
      <w:r>
        <w:rPr>
          <w14:ligatures w14:val="none"/>
        </w:rPr>
      </w:r>
    </w:p>
    <w:tbl>
      <w:tblPr>
        <w:tblStyle w:val="945"/>
        <w:tblInd w:w="108" w:type="dxa"/>
        <w:tblW w:w="0" w:type="auto"/>
        <w:tblBorders/>
        <w:tblLayout w:type="fixed"/>
        <w:tblLook w:val="04A0" w:firstRow="1" w:lastRow="0" w:firstColumn="1" w:lastColumn="0" w:noHBand="0" w:noVBand="1"/>
      </w:tblPr>
      <w:tblGrid>
        <w:gridCol w:w="1512"/>
        <w:gridCol w:w="1287"/>
        <w:gridCol w:w="1287"/>
        <w:gridCol w:w="1287"/>
        <w:gridCol w:w="1287"/>
        <w:gridCol w:w="2409"/>
      </w:tblGrid>
      <w:tr>
        <w:trPr>
          <w:trHeight w:val="397"/>
        </w:trPr>
        <w:tc>
          <w:tcPr>
            <w:tcBorders/>
            <w:tcW w:w="1512" w:type="dxa"/>
          </w:tcPr>
          <w:p>
            <w:pPr>
              <w:pStyle w:val="897"/>
              <w:pBdr/>
              <w:spacing/>
              <w:ind/>
              <w:jc w:val="center"/>
              <w:rPr>
                <w:rFonts w:ascii="Readex Pro" w:hAnsi="Readex Pro" w:cs="Readex Pro"/>
              </w:rPr>
            </w:pPr>
            <w:r>
              <w:rPr>
                <w:rFonts w:ascii="Readex Pro" w:hAnsi="Readex Pro" w:eastAsia="Readex Pro" w:cs="Readex Pro"/>
                <w:b/>
              </w:rPr>
              <w:t xml:space="preserve">Script</w:t>
            </w:r>
            <w:r>
              <w:rPr>
                <w:rFonts w:ascii="Readex Pro" w:hAnsi="Readex Pro" w:eastAsia="Readex Pro" w:cs="Readex Pro"/>
              </w:rPr>
            </w:r>
            <w:r>
              <w:rPr>
                <w:rFonts w:ascii="Readex Pro" w:hAnsi="Readex Pro" w:cs="Readex Pro"/>
              </w:rPr>
            </w:r>
          </w:p>
        </w:tc>
        <w:tc>
          <w:tcPr>
            <w:tcBorders/>
            <w:tcW w:w="1287" w:type="dxa"/>
          </w:tcPr>
          <w:p>
            <w:pPr>
              <w:pStyle w:val="897"/>
              <w:pBdr/>
              <w:spacing/>
              <w:ind/>
              <w:jc w:val="center"/>
              <w:rPr>
                <w:rFonts w:ascii="Readex Pro" w:hAnsi="Readex Pro" w:cs="Readex Pro"/>
              </w:rPr>
            </w:pPr>
            <w:r>
              <w:rPr>
                <w:rFonts w:ascii="Readex Pro" w:hAnsi="Readex Pro" w:eastAsia="Readex Pro" w:cs="Readex Pro"/>
                <w:b/>
              </w:rPr>
              <w:t xml:space="preserve">Jogos</w:t>
            </w:r>
            <w:r>
              <w:rPr>
                <w:rFonts w:ascii="Readex Pro" w:hAnsi="Readex Pro" w:eastAsia="Readex Pro" w:cs="Readex Pro"/>
              </w:rPr>
            </w:r>
            <w:r>
              <w:rPr>
                <w:rFonts w:ascii="Readex Pro" w:hAnsi="Readex Pro" w:cs="Readex Pro"/>
              </w:rPr>
            </w:r>
          </w:p>
        </w:tc>
        <w:tc>
          <w:tcPr>
            <w:tcBorders/>
            <w:tcW w:w="1287" w:type="dxa"/>
          </w:tcPr>
          <w:p>
            <w:pPr>
              <w:pStyle w:val="897"/>
              <w:pBdr/>
              <w:spacing/>
              <w:ind/>
              <w:jc w:val="center"/>
              <w:rPr>
                <w:rFonts w:ascii="Readex Pro" w:hAnsi="Readex Pro" w:cs="Readex Pro"/>
              </w:rPr>
            </w:pPr>
            <w:r>
              <w:rPr>
                <w:rFonts w:ascii="Readex Pro" w:hAnsi="Readex Pro" w:eastAsia="Readex Pro" w:cs="Readex Pro"/>
                <w:b/>
              </w:rPr>
              <w:t xml:space="preserve">Apostas</w:t>
            </w:r>
            <w:r>
              <w:rPr>
                <w:rFonts w:ascii="Readex Pro" w:hAnsi="Readex Pro" w:eastAsia="Readex Pro" w:cs="Readex Pro"/>
              </w:rPr>
            </w:r>
            <w:r>
              <w:rPr>
                <w:rFonts w:ascii="Readex Pro" w:hAnsi="Readex Pro" w:cs="Readex Pro"/>
              </w:rPr>
            </w:r>
          </w:p>
        </w:tc>
        <w:tc>
          <w:tcPr>
            <w:tcBorders/>
            <w:tcW w:w="1287" w:type="dxa"/>
          </w:tcPr>
          <w:p>
            <w:pPr>
              <w:pStyle w:val="897"/>
              <w:pBdr/>
              <w:spacing/>
              <w:ind/>
              <w:jc w:val="center"/>
              <w:rPr>
                <w:rFonts w:ascii="Readex Pro" w:hAnsi="Readex Pro" w:cs="Readex Pro"/>
              </w:rPr>
            </w:pPr>
            <w:r>
              <w:rPr>
                <w:rFonts w:ascii="Readex Pro" w:hAnsi="Readex Pro" w:eastAsia="Readex Pro" w:cs="Readex Pro"/>
                <w:b/>
              </w:rPr>
              <w:t xml:space="preserve">Falhas</w:t>
            </w:r>
            <w:r>
              <w:rPr>
                <w:rFonts w:ascii="Readex Pro" w:hAnsi="Readex Pro" w:eastAsia="Readex Pro" w:cs="Readex Pro"/>
              </w:rPr>
            </w:r>
            <w:r>
              <w:rPr>
                <w:rFonts w:ascii="Readex Pro" w:hAnsi="Readex Pro" w:cs="Readex Pro"/>
              </w:rPr>
            </w:r>
          </w:p>
        </w:tc>
        <w:tc>
          <w:tcPr>
            <w:tcBorders/>
            <w:tcW w:w="1287" w:type="dxa"/>
          </w:tcPr>
          <w:p>
            <w:pPr>
              <w:pStyle w:val="897"/>
              <w:pBdr/>
              <w:spacing/>
              <w:ind/>
              <w:jc w:val="center"/>
              <w:rPr>
                <w:rFonts w:ascii="Readex Pro" w:hAnsi="Readex Pro" w:cs="Readex Pro"/>
              </w:rPr>
            </w:pPr>
            <w:r>
              <w:rPr>
                <w:rFonts w:ascii="Readex Pro" w:hAnsi="Readex Pro" w:eastAsia="Readex Pro" w:cs="Readex Pro"/>
                <w:b/>
              </w:rPr>
              <w:t xml:space="preserve">Duração</w:t>
            </w:r>
            <w:r>
              <w:rPr>
                <w:rFonts w:ascii="Readex Pro" w:hAnsi="Readex Pro" w:eastAsia="Readex Pro" w:cs="Readex Pro"/>
              </w:rPr>
            </w:r>
            <w:r>
              <w:rPr>
                <w:rFonts w:ascii="Readex Pro" w:hAnsi="Readex Pro" w:cs="Readex Pro"/>
              </w:rPr>
            </w:r>
          </w:p>
        </w:tc>
        <w:tc>
          <w:tcPr>
            <w:tcBorders/>
            <w:tcW w:w="2409" w:type="dxa"/>
          </w:tcPr>
          <w:p>
            <w:pPr>
              <w:pStyle w:val="897"/>
              <w:pBdr/>
              <w:spacing/>
              <w:ind/>
              <w:jc w:val="center"/>
              <w:rPr>
                <w:rFonts w:ascii="Readex Pro" w:hAnsi="Readex Pro" w:cs="Readex Pro"/>
              </w:rPr>
            </w:pPr>
            <w:r>
              <w:rPr>
                <w:rFonts w:ascii="Readex Pro" w:hAnsi="Readex Pro" w:eastAsia="Readex Pro" w:cs="Readex Pro"/>
                <w:b/>
              </w:rPr>
              <w:t xml:space="preserve">Cenário</w:t>
            </w:r>
            <w:r>
              <w:rPr>
                <w:rFonts w:ascii="Readex Pro" w:hAnsi="Readex Pro" w:eastAsia="Readex Pro" w:cs="Readex Pro"/>
              </w:rPr>
            </w:r>
            <w:r>
              <w:rPr>
                <w:rFonts w:ascii="Readex Pro" w:hAnsi="Readex Pro" w:cs="Readex Pro"/>
              </w:rPr>
            </w:r>
          </w:p>
        </w:tc>
      </w:tr>
      <w:tr>
        <w:trPr>
          <w:trHeight w:val="1134"/>
        </w:trPr>
        <w:tc>
          <w:tcPr>
            <w:tcBorders/>
            <w:tcW w:w="1512" w:type="dxa"/>
          </w:tcPr>
          <w:p>
            <w:pPr>
              <w:pStyle w:val="897"/>
              <w:pBdr/>
              <w:spacing/>
              <w:ind/>
              <w:rPr>
                <w:rFonts w:ascii="Readex Pro" w:hAnsi="Readex Pro" w:cs="Readex Pro"/>
              </w:rPr>
            </w:pPr>
            <w:r>
              <w:rPr>
                <w:rFonts w:ascii="Readex Pro" w:hAnsi="Readex Pro" w:eastAsia="Readex Pro" w:cs="Readex Pro"/>
              </w:rPr>
              <w:t xml:space="preserve">stress.mjs</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5</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40</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0</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~9s</w:t>
            </w:r>
            <w:r>
              <w:rPr>
                <w:rFonts w:ascii="Readex Pro" w:hAnsi="Readex Pro" w:eastAsia="Readex Pro" w:cs="Readex Pro"/>
              </w:rPr>
            </w:r>
            <w:r>
              <w:rPr>
                <w:rFonts w:ascii="Readex Pro" w:hAnsi="Readex Pro" w:cs="Readex Pro"/>
              </w:rPr>
            </w:r>
          </w:p>
        </w:tc>
        <w:tc>
          <w:tcPr>
            <w:tcBorders/>
            <w:tcW w:w="2409" w:type="dxa"/>
          </w:tcPr>
          <w:p>
            <w:pPr>
              <w:pStyle w:val="897"/>
              <w:pBdr/>
              <w:spacing/>
              <w:ind/>
              <w:rPr>
                <w:rFonts w:ascii="Readex Pro" w:hAnsi="Readex Pro" w:cs="Readex Pro"/>
              </w:rPr>
            </w:pPr>
            <w:r>
              <w:rPr>
                <w:rFonts w:ascii="Readex Pro" w:hAnsi="Readex Pro" w:eastAsia="Readex Pro" w:cs="Readex Pro"/>
              </w:rPr>
              <w:t xml:space="preserve">Pipeline completo básico</w:t>
            </w:r>
            <w:r>
              <w:rPr>
                <w:rFonts w:ascii="Readex Pro" w:hAnsi="Readex Pro" w:eastAsia="Readex Pro" w:cs="Readex Pro"/>
              </w:rPr>
            </w:r>
            <w:r>
              <w:rPr>
                <w:rFonts w:ascii="Readex Pro" w:hAnsi="Readex Pro" w:cs="Readex Pro"/>
              </w:rPr>
            </w:r>
          </w:p>
        </w:tc>
      </w:tr>
      <w:tr>
        <w:trPr>
          <w:trHeight w:val="1134"/>
        </w:trPr>
        <w:tc>
          <w:tcPr>
            <w:tcBorders/>
            <w:tcW w:w="1512" w:type="dxa"/>
          </w:tcPr>
          <w:p>
            <w:pPr>
              <w:pStyle w:val="897"/>
              <w:pBdr/>
              <w:spacing/>
              <w:ind/>
              <w:rPr>
                <w:rFonts w:ascii="Readex Pro" w:hAnsi="Readex Pro" w:cs="Readex Pro"/>
              </w:rPr>
            </w:pPr>
            <w:r>
              <w:rPr>
                <w:rFonts w:ascii="Readex Pro" w:hAnsi="Readex Pro" w:eastAsia="Readex Pro" w:cs="Readex Pro"/>
              </w:rPr>
              <w:t xml:space="preserve">stress2.mjs</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12</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100</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5*</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~11s</w:t>
            </w:r>
            <w:r>
              <w:rPr>
                <w:rFonts w:ascii="Readex Pro" w:hAnsi="Readex Pro" w:eastAsia="Readex Pro" w:cs="Readex Pro"/>
              </w:rPr>
            </w:r>
            <w:r>
              <w:rPr>
                <w:rFonts w:ascii="Readex Pro" w:hAnsi="Readex Pro" w:cs="Readex Pro"/>
              </w:rPr>
            </w:r>
          </w:p>
        </w:tc>
        <w:tc>
          <w:tcPr>
            <w:tcBorders/>
            <w:tcW w:w="2409" w:type="dxa"/>
          </w:tcPr>
          <w:p>
            <w:pPr>
              <w:pStyle w:val="897"/>
              <w:pBdr/>
              <w:spacing/>
              <w:ind/>
              <w:rPr>
                <w:rFonts w:ascii="Readex Pro" w:hAnsi="Readex Pro" w:cs="Readex Pro"/>
              </w:rPr>
            </w:pPr>
            <w:r>
              <w:rPr>
                <w:rFonts w:ascii="Readex Pro" w:hAnsi="Readex Pro" w:eastAsia="Readex Pro" w:cs="Readex Pro"/>
              </w:rPr>
              <w:t xml:space="preserve">High-stakes, cancelamentos, alertas ativados</w:t>
            </w:r>
            <w:r>
              <w:rPr>
                <w:rFonts w:ascii="Readex Pro" w:hAnsi="Readex Pro" w:eastAsia="Readex Pro" w:cs="Readex Pro"/>
              </w:rPr>
            </w:r>
            <w:r>
              <w:rPr>
                <w:rFonts w:ascii="Readex Pro" w:hAnsi="Readex Pro" w:cs="Readex Pro"/>
              </w:rPr>
            </w:r>
          </w:p>
        </w:tc>
      </w:tr>
      <w:tr>
        <w:trPr>
          <w:trHeight w:val="1134"/>
        </w:trPr>
        <w:tc>
          <w:tcPr>
            <w:tcBorders/>
            <w:tcW w:w="1512" w:type="dxa"/>
          </w:tcPr>
          <w:p>
            <w:pPr>
              <w:pStyle w:val="897"/>
              <w:pBdr/>
              <w:spacing/>
              <w:ind/>
              <w:rPr>
                <w:rFonts w:ascii="Readex Pro" w:hAnsi="Readex Pro" w:cs="Readex Pro"/>
              </w:rPr>
            </w:pPr>
            <w:r>
              <w:rPr>
                <w:rFonts w:ascii="Readex Pro" w:hAnsi="Readex Pro" w:eastAsia="Readex Pro" w:cs="Readex Pro"/>
              </w:rPr>
              <w:t xml:space="preserve">str</w:t>
            </w:r>
            <w:r>
              <w:t xml:space="preserve">ess</w:t>
            </w:r>
            <w:r>
              <w:rPr>
                <w:rFonts w:ascii="Readex Pro" w:hAnsi="Readex Pro" w:eastAsia="Readex Pro" w:cs="Readex Pro"/>
              </w:rPr>
              <w:t xml:space="preserve">3.mjs</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25</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905</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0</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~13s</w:t>
            </w:r>
            <w:r>
              <w:rPr>
                <w:rFonts w:ascii="Readex Pro" w:hAnsi="Readex Pro" w:eastAsia="Readex Pro" w:cs="Readex Pro"/>
              </w:rPr>
            </w:r>
            <w:r>
              <w:rPr>
                <w:rFonts w:ascii="Readex Pro" w:hAnsi="Readex Pro" w:cs="Readex Pro"/>
              </w:rPr>
            </w:r>
          </w:p>
        </w:tc>
        <w:tc>
          <w:tcPr>
            <w:tcBorders/>
            <w:tcW w:w="2409" w:type="dxa"/>
          </w:tcPr>
          <w:p>
            <w:pPr>
              <w:pStyle w:val="897"/>
              <w:pBdr/>
              <w:spacing/>
              <w:ind/>
              <w:rPr>
                <w:rFonts w:ascii="Readex Pro" w:hAnsi="Readex Pro" w:cs="Readex Pro"/>
              </w:rPr>
            </w:pPr>
            <w:r>
              <w:rPr>
                <w:rFonts w:ascii="Readex Pro" w:hAnsi="Readex Pro" w:eastAsia="Readex Pro" w:cs="Readex Pro"/>
              </w:rPr>
              <w:t xml:space="preserve">3 fluxos paralelos: normal, cancelamento, sem apostas</w:t>
            </w:r>
            <w:r>
              <w:rPr>
                <w:rFonts w:ascii="Readex Pro" w:hAnsi="Readex Pro" w:eastAsia="Readex Pro" w:cs="Readex Pro"/>
              </w:rPr>
            </w:r>
            <w:r>
              <w:rPr>
                <w:rFonts w:ascii="Readex Pro" w:hAnsi="Readex Pro" w:cs="Readex Pro"/>
              </w:rPr>
            </w:r>
          </w:p>
        </w:tc>
      </w:tr>
      <w:tr>
        <w:trPr>
          <w:trHeight w:val="1134"/>
        </w:trPr>
        <w:tc>
          <w:tcPr>
            <w:tcBorders/>
            <w:tcW w:w="1512" w:type="dxa"/>
          </w:tcPr>
          <w:p>
            <w:pPr>
              <w:pStyle w:val="897"/>
              <w:pBdr/>
              <w:spacing/>
              <w:ind/>
              <w:rPr>
                <w:rFonts w:ascii="Readex Pro" w:hAnsi="Readex Pro" w:cs="Readex Pro"/>
              </w:rPr>
            </w:pPr>
            <w:r>
              <w:rPr>
                <w:rFonts w:ascii="Readex Pro" w:hAnsi="Readex Pro" w:eastAsia="Readex Pro" w:cs="Readex Pro"/>
              </w:rPr>
              <w:t xml:space="preserve">stress4.mjs</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60</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30 000</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0</w:t>
            </w:r>
            <w:r>
              <w:rPr>
                <w:rFonts w:ascii="Readex Pro" w:hAnsi="Readex Pro" w:eastAsia="Readex Pro" w:cs="Readex Pro"/>
              </w:rPr>
            </w:r>
            <w:r>
              <w:rPr>
                <w:rFonts w:ascii="Readex Pro" w:hAnsi="Readex Pro" w:cs="Readex Pro"/>
              </w:rPr>
            </w:r>
          </w:p>
        </w:tc>
        <w:tc>
          <w:tcPr>
            <w:tcBorders/>
            <w:tcW w:w="1287" w:type="dxa"/>
          </w:tcPr>
          <w:p>
            <w:pPr>
              <w:pStyle w:val="897"/>
              <w:pBdr/>
              <w:spacing/>
              <w:ind/>
              <w:rPr>
                <w:rFonts w:ascii="Readex Pro" w:hAnsi="Readex Pro" w:cs="Readex Pro"/>
              </w:rPr>
            </w:pPr>
            <w:r>
              <w:rPr>
                <w:rFonts w:ascii="Readex Pro" w:hAnsi="Readex Pro" w:eastAsia="Readex Pro" w:cs="Readex Pro"/>
              </w:rPr>
              <w:t xml:space="preserve">~130s</w:t>
            </w:r>
            <w:r>
              <w:rPr>
                <w:rFonts w:ascii="Readex Pro" w:hAnsi="Readex Pro" w:eastAsia="Readex Pro" w:cs="Readex Pro"/>
              </w:rPr>
            </w:r>
            <w:r>
              <w:rPr>
                <w:rFonts w:ascii="Readex Pro" w:hAnsi="Readex Pro" w:cs="Readex Pro"/>
              </w:rPr>
            </w:r>
          </w:p>
        </w:tc>
        <w:tc>
          <w:tcPr>
            <w:tcBorders/>
            <w:tcW w:w="2409" w:type="dxa"/>
          </w:tcPr>
          <w:p>
            <w:pPr>
              <w:pStyle w:val="897"/>
              <w:pBdr/>
              <w:spacing/>
              <w:ind/>
              <w:rPr>
                <w:rFonts w:ascii="Readex Pro" w:hAnsi="Readex Pro" w:cs="Readex Pro"/>
              </w:rPr>
            </w:pPr>
            <w:r>
              <w:rPr>
                <w:rFonts w:ascii="Readex Pro" w:hAnsi="Readex Pro" w:eastAsia="Readex Pro" w:cs="Readex Pro"/>
              </w:rPr>
              <w:t xml:space="preserve">Throughput máximo: ~260 apostas/segundo</w:t>
            </w:r>
            <w:r>
              <w:rPr>
                <w:rFonts w:ascii="Readex Pro" w:hAnsi="Readex Pro" w:eastAsia="Readex Pro" w:cs="Readex Pro"/>
              </w:rPr>
            </w:r>
            <w:r>
              <w:rPr>
                <w:rFonts w:ascii="Readex Pro" w:hAnsi="Readex Pro" w:cs="Readex Pro"/>
              </w:rPr>
            </w:r>
          </w:p>
        </w:tc>
      </w:tr>
    </w:tbl>
    <w:p>
      <w:pPr>
        <w:pBdr/>
        <w:spacing/>
        <w:ind/>
        <w:rPr>
          <w:rFonts w:ascii="Readex Pro" w:hAnsi="Readex Pro" w:cs="Readex Pro"/>
        </w:rPr>
      </w:pPr>
      <w:r>
        <w:rPr>
          <w:rFonts w:ascii="Readex Pro" w:hAnsi="Readex Pro" w:eastAsia="Readex Pro" w:cs="Readex Pro"/>
        </w:rPr>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As 5 falhas de stress2 são rejeições de saldo esperadas: utilizadores que tentaram apostar em múltiplos jogos em simultâneo com saldo insuficiente. O sistema rejeitou corretamente sem debita</w:t>
      </w:r>
      <w:r>
        <w:rPr>
          <w:rFonts w:ascii="Readex Pro" w:hAnsi="Readex Pro" w:eastAsia="Readex Pro" w:cs="Readex Pro"/>
        </w:rPr>
        <w:t xml:space="preserve">r saldo. O bottleneck a 260 apostas/segundo é a sp_InserirAposta, que executa numa transação atómica com validação de saldo, verificação de estado do jogo e inserção. A atomicidade é um requisito funcional, não algo que se possa sacrificar por performance.</w:t>
      </w:r>
      <w:r>
        <w:rPr>
          <w:rFonts w:ascii="Readex Pro" w:hAnsi="Readex Pro" w:eastAsia="Readex Pro" w:cs="Readex Pro"/>
        </w:rPr>
      </w:r>
      <w:r>
        <w:rPr>
          <w:rFonts w:ascii="Readex Pro" w:hAnsi="Readex Pro" w:cs="Readex Pro"/>
        </w:rPr>
      </w:r>
    </w:p>
    <w:p>
      <w:pPr>
        <w:pStyle w:val="886"/>
        <w:pBdr/>
        <w:spacing/>
        <w:ind/>
        <w:rPr>
          <w14:ligatures w14:val="none"/>
        </w:rPr>
      </w:pPr>
      <w:r/>
      <w:bookmarkStart w:id="36" w:name="_Toc36"/>
      <w:r>
        <w:t xml:space="preserve">9.3. Testes de Resiliência e Idempotência</w:t>
      </w:r>
      <w:r/>
      <w:bookmarkEnd w:id="36"/>
      <w:r/>
      <w:r>
        <w:rPr>
          <w14:ligatures w14:val="none"/>
        </w:rPr>
      </w:r>
    </w:p>
    <w:p>
      <w:pPr>
        <w:pBdr/>
        <w:spacing/>
        <w:ind w:firstLine="720"/>
        <w:rPr>
          <w:rFonts w:ascii="Readex Pro" w:hAnsi="Readex Pro" w:cs="Readex Pro"/>
        </w:rPr>
      </w:pPr>
      <w:r>
        <w:rPr>
          <w:rFonts w:ascii="Readex Pro" w:hAnsi="Readex Pro" w:eastAsia="Readex Pro" w:cs="Readex Pro"/>
        </w:rPr>
        <w:t xml:space="preserve">Os três cenários de falha (Kafka, RabbitMQ e ApiPagamentos em baixo) foram validados com o script resilience.mjs. O resultad</w:t>
      </w:r>
      <w:r>
        <w:rPr>
          <w:rFonts w:ascii="Readex Pro" w:hAnsi="Readex Pro" w:eastAsia="Readex Pro" w:cs="Readex Pro"/>
        </w:rPr>
        <w:t xml:space="preserve">o mais relevante é o cenário de RabbitMQ em baixo: o PendingBetsSweeper ativou-se 30 segundos após o restart do broker, republicou as mensagens pendentes, e os saldos dos utilizadores foram creditados corretamente sem perda de dados nem intervenção manual.</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A tabela EventosProcessados após os testes completos continha 56 registos para 56 jogos distintos, confirmando que cada jogo foi resolvido exatamente uma vez apesar das reentregas geradas pelos cenários de falha.</w:t>
      </w:r>
      <w:r>
        <w:rPr>
          <w:rFonts w:ascii="Readex Pro" w:hAnsi="Readex Pro" w:eastAsia="Readex Pro" w:cs="Readex Pro"/>
        </w:rPr>
      </w:r>
      <w:r>
        <w:rPr>
          <w:rFonts w:ascii="Readex Pro" w:hAnsi="Readex Pro" w:cs="Readex Pro"/>
        </w:rPr>
      </w:r>
    </w:p>
    <w:p>
      <w:pPr>
        <w:pBdr/>
        <w:spacing/>
        <w:ind/>
        <w:rPr>
          <w:rFonts w:ascii="Readex Pro" w:hAnsi="Readex Pro" w:cs="Readex Pro"/>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pPr>
        <w:pStyle w:val="885"/>
        <w:pBdr/>
        <w:spacing/>
        <w:ind/>
        <w:rPr>
          <w14:ligatures w14:val="none"/>
        </w:rPr>
      </w:pPr>
      <w:r/>
      <w:bookmarkStart w:id="37" w:name="_Toc37"/>
      <w:r>
        <w:t xml:space="preserve">10. Análise Crítica e Limitações</w:t>
      </w:r>
      <w:r/>
      <w:bookmarkEnd w:id="37"/>
      <w:r/>
      <w:r>
        <w:rPr>
          <w14:ligatures w14:val="none"/>
        </w:rPr>
      </w:r>
    </w:p>
    <w:p>
      <w:pPr>
        <w:pStyle w:val="886"/>
        <w:pBdr/>
        <w:spacing/>
        <w:ind/>
        <w:rPr>
          <w14:ligatures w14:val="none"/>
        </w:rPr>
      </w:pPr>
      <w:r/>
      <w:bookmarkStart w:id="38" w:name="_Toc38"/>
      <w:r>
        <w:t xml:space="preserve">10.1. O que Funciona Bem</w:t>
      </w:r>
      <w:r/>
      <w:bookmarkEnd w:id="38"/>
      <w:r/>
      <w:r>
        <w:rPr>
          <w14:ligatures w14:val="none"/>
        </w:rPr>
      </w:r>
    </w:p>
    <w:p>
      <w:pPr>
        <w:pStyle w:val="915"/>
        <w:pBdr/>
        <w:spacing/>
        <w:ind w:left="283"/>
        <w:rPr>
          <w:rFonts w:ascii="Readex Pro" w:hAnsi="Readex Pro" w:cs="Readex Pro"/>
        </w:rPr>
      </w:pPr>
      <w:r>
        <w:rPr>
          <w:rFonts w:ascii="Readex Pro" w:hAnsi="Readex Pro" w:eastAsia="Readex Pro" w:cs="Readex Pro"/>
        </w:rPr>
        <w:t xml:space="preserve">Desacoplamento via Kafka: adicionar o AnalyticsService não exigiu qualquer alteração em ApiResultados ou ApiApostas. O sistema está genuinamente aberto à extensão.</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Resiliência da resolução de apostas: a combinação Kafka, RabbitMQ e Sweeper garante que nenhuma aposta fica por resolver, mesmo com falhas de componentes.</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Idempotência por EventId: simples, portável e sem race conditions. A tabela EventosProcessados é auditável, sendo possível ver exatamente o que foi processado e quando.</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Separação transacional e analítica: o AnalyticsService nunca concorre com as bases de dados transacionais. Picos de carga no analytics não afetam as apostas.</w:t>
      </w:r>
      <w:r>
        <w:rPr>
          <w:rFonts w:ascii="Readex Pro" w:hAnsi="Readex Pro" w:eastAsia="Readex Pro" w:cs="Readex Pro"/>
        </w:rPr>
      </w:r>
      <w:r>
        <w:rPr>
          <w:rFonts w:ascii="Readex Pro" w:hAnsi="Readex Pro" w:cs="Readex Pro"/>
        </w:rPr>
      </w:r>
    </w:p>
    <w:p>
      <w:pPr>
        <w:pStyle w:val="886"/>
        <w:pBdr/>
        <w:spacing/>
        <w:ind/>
        <w:rPr>
          <w14:ligatures w14:val="none"/>
        </w:rPr>
      </w:pPr>
      <w:r/>
      <w:bookmarkStart w:id="39" w:name="_Toc39"/>
      <w:r>
        <w:t xml:space="preserve">10.2. Limitações e Melhorias Futuras</w:t>
      </w:r>
      <w:r/>
      <w:bookmarkEnd w:id="39"/>
      <w:r/>
      <w:r>
        <w:rPr>
          <w14:ligatures w14:val="none"/>
        </w:rPr>
      </w:r>
    </w:p>
    <w:p>
      <w:pPr>
        <w:pStyle w:val="915"/>
        <w:pBdr/>
        <w:spacing/>
        <w:ind w:left="283"/>
        <w:rPr>
          <w:rFonts w:ascii="Readex Pro" w:hAnsi="Readex Pro" w:cs="Readex Pro"/>
        </w:rPr>
      </w:pPr>
      <w:r>
        <w:rPr>
          <w:rFonts w:ascii="Readex Pro" w:hAnsi="Readex Pro" w:eastAsia="Readex Pro" w:cs="Readex Pro"/>
        </w:rPr>
        <w:t xml:space="preserve">Fire-and-forget no Kafka: se o broker estiv</w:t>
      </w:r>
      <w:r>
        <w:rPr>
          <w:rFonts w:ascii="Readex Pro" w:hAnsi="Readex Pro" w:eastAsia="Readex Pro" w:cs="Readex Pro"/>
        </w:rPr>
        <w:t xml:space="preserve">er em baixo durante uma atualização de jogo, o evento perde-se. O Outbox Pattern resolveria isto, com um worker de relay para o Kafka a partir de uma tabela SQL. Escolhemos não implementar pela complexidade adicional, aceitando a limitação conscientemente.</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DLQ requer intervenção manual: após 3 falhas de ApiPagamentos, a re-injeção é manual via RabbitMQ UI. Um Dead Letter Consumer com espera exponencial automatizaria este processo.</w:t>
      </w:r>
      <w:r>
        <w:rPr>
          <w:rFonts w:ascii="Readex Pro" w:hAnsi="Readex Pro" w:eastAsia="Readex Pro" w:cs="Readex Pro"/>
        </w:rPr>
      </w:r>
      <w:r>
        <w:rPr>
          <w:rFonts w:ascii="Readex Pro" w:hAnsi="Readex Pro" w:cs="Readex Pro"/>
        </w:rPr>
      </w:r>
    </w:p>
    <w:p>
      <w:pPr>
        <w:pStyle w:val="915"/>
        <w:pBdr/>
        <w:spacing/>
        <w:ind w:left="283"/>
        <w:rPr>
          <w:rFonts w:ascii="Readex Pro" w:hAnsi="Readex Pro" w:cs="Readex Pro"/>
        </w:rPr>
      </w:pPr>
      <w:r>
        <w:rPr>
          <w:rFonts w:ascii="Readex Pro" w:hAnsi="Readex Pro" w:eastAsia="Readex Pro" w:cs="Readex Pro"/>
        </w:rPr>
        <w:t xml:space="preserve">Analytics in-memory sem alta disponibilidade: um restart com perda do volume Docker obriga a replay completo do Kafka. Para produção seria preferível uma base de dados de séries temporais (InfluxDB, TimescaleDB) como backend persistente.</w:t>
      </w:r>
      <w:r>
        <w:rPr>
          <w:rFonts w:ascii="Readex Pro" w:hAnsi="Readex Pro" w:eastAsia="Readex Pro" w:cs="Readex Pro"/>
        </w:rPr>
      </w:r>
      <w:r>
        <w:rPr>
          <w:rFonts w:ascii="Readex Pro" w:hAnsi="Readex Pro" w:cs="Readex Pro"/>
        </w:rPr>
      </w:r>
    </w:p>
    <w:p>
      <w:pPr>
        <w:pBdr/>
        <w:spacing/>
        <w:ind/>
        <w:rPr>
          <w:rFonts w:ascii="Readex Pro" w:hAnsi="Readex Pro" w:cs="Readex Pro"/>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pPr>
        <w:pStyle w:val="885"/>
        <w:pBdr/>
        <w:spacing/>
        <w:ind/>
        <w:rPr>
          <w14:ligatures w14:val="none"/>
        </w:rPr>
      </w:pPr>
      <w:r/>
      <w:bookmarkStart w:id="40" w:name="_Toc40"/>
      <w:r>
        <w:t xml:space="preserve">11. Conclusão</w:t>
      </w:r>
      <w:r/>
      <w:bookmarkEnd w:id="40"/>
      <w:r/>
      <w:r>
        <w:rPr>
          <w14:ligatures w14:val="none"/>
        </w:rPr>
      </w:r>
    </w:p>
    <w:p>
      <w:pPr>
        <w:pBdr/>
        <w:spacing/>
        <w:ind w:firstLine="720"/>
        <w:rPr>
          <w:rFonts w:ascii="Readex Pro" w:hAnsi="Readex Pro" w:cs="Readex Pro"/>
        </w:rPr>
      </w:pPr>
      <w:r>
        <w:rPr>
          <w:rFonts w:ascii="Readex Pro" w:hAnsi="Readex Pro" w:eastAsia="Readex Pro" w:cs="Readex Pro"/>
        </w:rPr>
        <w:t xml:space="preserve">O trabalho implementou com sucesso a modernização da plataforma BetStrike em duas fases progressivas. A Parte</w:t>
      </w:r>
      <w:r>
        <w:rPr>
          <w:rFonts w:ascii="Readex Pro" w:hAnsi="Readex Pro" w:eastAsia="Readex Pro" w:cs="Readex Pro"/>
        </w:rPr>
        <w:t xml:space="preserve"> 1 eliminou os processos manuais e estabeleceu a integração automática entre os sistemas, com robustez garantida por Stored Procedures transacionais e containerização Docker. A Parte 2 introduziu middleware de mensagens que transformou a arquitetura: o Kaf</w:t>
      </w:r>
      <w:r>
        <w:rPr>
          <w:rFonts w:ascii="Readex Pro" w:hAnsi="Readex Pro" w:eastAsia="Readex Pro" w:cs="Readex Pro"/>
        </w:rPr>
        <w:t xml:space="preserve">ka eliminou o acoplamento síncrono e habilitou fan-out de eventos com replay; o RabbitMQ delegou a resolução de apostas para processamento assíncrono com retry e Dead Letter Queue; o AnalyticsService forneceu a visibilidade operacional que estava em falta.</w:t>
      </w:r>
      <w:r>
        <w:rPr>
          <w:rFonts w:ascii="Readex Pro" w:hAnsi="Readex Pro" w:eastAsia="Readex Pro" w:cs="Readex Pro"/>
        </w:rPr>
      </w:r>
      <w:r>
        <w:rPr>
          <w:rFonts w:ascii="Readex Pro" w:hAnsi="Readex Pro" w:cs="Readex Pro"/>
        </w:rPr>
      </w:r>
    </w:p>
    <w:p>
      <w:pPr>
        <w:pBdr/>
        <w:spacing/>
        <w:ind w:firstLine="720"/>
        <w:jc w:val="both"/>
        <w:rPr>
          <w:rFonts w:ascii="Readex Pro" w:hAnsi="Readex Pro" w:cs="Readex Pro"/>
        </w:rPr>
      </w:pPr>
      <w:r>
        <w:rPr>
          <w:rFonts w:ascii="Readex Pro" w:hAnsi="Readex Pro" w:eastAsia="Readex Pro" w:cs="Readex Pro"/>
        </w:rPr>
        <w:t xml:space="preserve">A decisão de usar dois middlewares distintos em vez de um só reflete a compreensão da diferença funda</w:t>
      </w:r>
      <w:r>
        <w:rPr>
          <w:rFonts w:ascii="Readex Pro" w:hAnsi="Readex Pro" w:eastAsia="Readex Pro" w:cs="Readex Pro"/>
        </w:rPr>
        <w:t xml:space="preserve">mental entre streaming de eventos (Kafka) e delegação de trabalho (RabbitMQ). Cada tecnologia foi aplicada ao paradigma onde a sua semântica é naturalmente adequada, resultando numa solução mais clara e mais robusta do que uma solução </w:t>
      </w:r>
      <w:r>
        <w:t xml:space="preserve">homogénea </w:t>
      </w:r>
      <w:r>
        <w:rPr>
          <w:rFonts w:ascii="Readex Pro" w:hAnsi="Readex Pro" w:eastAsia="Readex Pro" w:cs="Readex Pro"/>
        </w:rPr>
        <w:t xml:space="preserve">teria sido.</w:t>
      </w:r>
      <w:r>
        <w:rPr>
          <w:rFonts w:ascii="Readex Pro" w:hAnsi="Readex Pro" w:eastAsia="Readex Pro" w:cs="Readex Pro"/>
        </w:rPr>
      </w:r>
      <w:r>
        <w:rPr>
          <w:rFonts w:ascii="Readex Pro" w:hAnsi="Readex Pro" w:cs="Readex Pro"/>
        </w:rPr>
      </w:r>
    </w:p>
    <w:p>
      <w:pPr>
        <w:pBdr/>
        <w:spacing/>
        <w:ind w:firstLine="720"/>
        <w:rPr>
          <w:rFonts w:ascii="Readex Pro" w:hAnsi="Readex Pro" w:cs="Readex Pro"/>
        </w:rPr>
      </w:pPr>
      <w:r>
        <w:rPr>
          <w:rFonts w:ascii="Readex Pro" w:hAnsi="Readex Pro" w:eastAsia="Readex Pro" w:cs="Readex Pro"/>
        </w:rPr>
        <w:t xml:space="preserve">Os testes de stress com 30 000 apostas a cerca de 260 p</w:t>
      </w:r>
      <w:r>
        <w:rPr>
          <w:rFonts w:ascii="Readex Pro" w:hAnsi="Readex Pro" w:eastAsia="Readex Pro" w:cs="Readex Pro"/>
        </w:rPr>
        <w:t xml:space="preserve">or segundo e os testes de resiliência com três cenários de falha confirmaram que o sistema se comporta corretamente sob carga e em condições adversas. As limitações identificadas são tradeoffs conscientes, documentados, com caminhos de evolução conhecidos.</w:t>
      </w:r>
      <w:r>
        <w:rPr>
          <w:rFonts w:ascii="Readex Pro" w:hAnsi="Readex Pro" w:eastAsia="Readex Pro" w:cs="Readex Pro"/>
        </w:rPr>
      </w:r>
      <w:r>
        <w:rPr>
          <w:rFonts w:ascii="Readex Pro" w:hAnsi="Readex Pro" w:cs="Readex Pro"/>
        </w:rPr>
      </w:r>
    </w:p>
    <w:p>
      <w:pPr>
        <w:pBdr/>
        <w:spacing/>
        <w:ind/>
        <w:rPr>
          <w:rFonts w:ascii="Readex Pro" w:hAnsi="Readex Pro" w:cs="Readex Pro"/>
        </w:rPr>
      </w:pPr>
      <w:r>
        <w:rPr>
          <w:rFonts w:ascii="Readex Pro" w:hAnsi="Readex Pro" w:eastAsia="Readex Pro" w:cs="Readex Pro"/>
        </w:rPr>
        <w:br w:type="page" w:clear="all"/>
      </w:r>
      <w:r>
        <w:rPr>
          <w:rFonts w:ascii="Readex Pro" w:hAnsi="Readex Pro" w:eastAsia="Readex Pro" w:cs="Readex Pro"/>
        </w:rPr>
      </w:r>
      <w:r>
        <w:rPr>
          <w:rFonts w:ascii="Readex Pro" w:hAnsi="Readex Pro" w:cs="Readex Pro"/>
        </w:rPr>
      </w:r>
    </w:p>
    <w:p>
      <w:pPr>
        <w:pStyle w:val="885"/>
        <w:pBdr/>
        <w:spacing/>
        <w:ind/>
        <w:rPr>
          <w14:ligatures w14:val="none"/>
        </w:rPr>
      </w:pPr>
      <w:r/>
      <w:bookmarkStart w:id="41" w:name="_Toc41"/>
      <w:r>
        <w:t xml:space="preserve">12. Referências Bibliográficas</w:t>
      </w:r>
      <w:r/>
      <w:bookmarkEnd w:id="41"/>
      <w:r/>
      <w:r>
        <w:rPr>
          <w14:ligatures w14:val="none"/>
        </w:rPr>
      </w:r>
    </w:p>
    <w:p>
      <w:pPr>
        <w:pStyle w:val="915"/>
        <w:pBdr/>
        <w:spacing/>
        <w:ind w:left="283"/>
        <w:jc w:val="left"/>
        <w:rPr>
          <w:rFonts w:ascii="Readex Pro" w:hAnsi="Readex Pro" w:cs="Readex Pro"/>
        </w:rPr>
      </w:pPr>
      <w:r>
        <w:rPr>
          <w:rFonts w:ascii="Readex Pro" w:hAnsi="Readex Pro" w:eastAsia="Readex Pro" w:cs="Readex Pro"/>
        </w:rPr>
        <w:t xml:space="preserve">Hohpe, G., &amp; Woolf, B. (2004). Enterprise Integration Patterns: Designing, Building, and Deploying Messaging Solutions. Addison-Wesley Professional.</w:t>
      </w:r>
      <w:r>
        <w:rPr>
          <w:rFonts w:ascii="Readex Pro" w:hAnsi="Readex Pro" w:eastAsia="Readex Pro" w:cs="Readex Pro"/>
        </w:rPr>
      </w:r>
      <w:r>
        <w:rPr>
          <w:rFonts w:ascii="Readex Pro" w:hAnsi="Readex Pro" w:cs="Readex Pro"/>
        </w:rPr>
      </w:r>
    </w:p>
    <w:p>
      <w:pPr>
        <w:pStyle w:val="915"/>
        <w:pBdr/>
        <w:spacing/>
        <w:ind w:left="283"/>
        <w:jc w:val="left"/>
        <w:rPr>
          <w:rFonts w:ascii="Readex Pro" w:hAnsi="Readex Pro" w:cs="Readex Pro"/>
        </w:rPr>
      </w:pPr>
      <w:r>
        <w:rPr>
          <w:rFonts w:ascii="Readex Pro" w:hAnsi="Readex Pro" w:eastAsia="Readex Pro" w:cs="Readex Pro"/>
        </w:rPr>
        <w:t xml:space="preserve">Erl, T. (2004). Service-Oriented Architecture: A Field Guide to Integrating XML and Web Services. Prentice Hall.</w:t>
      </w:r>
      <w:r>
        <w:rPr>
          <w:rFonts w:ascii="Readex Pro" w:hAnsi="Readex Pro" w:eastAsia="Readex Pro" w:cs="Readex Pro"/>
        </w:rPr>
      </w:r>
      <w:r>
        <w:rPr>
          <w:rFonts w:ascii="Readex Pro" w:hAnsi="Readex Pro" w:cs="Readex Pro"/>
        </w:rPr>
      </w:r>
    </w:p>
    <w:p>
      <w:pPr>
        <w:pStyle w:val="915"/>
        <w:pBdr/>
        <w:spacing/>
        <w:ind w:left="283"/>
        <w:jc w:val="left"/>
        <w:rPr>
          <w:rFonts w:ascii="Readex Pro" w:hAnsi="Readex Pro" w:cs="Readex Pro"/>
        </w:rPr>
      </w:pPr>
      <w:r>
        <w:rPr>
          <w:rFonts w:ascii="Readex Pro" w:hAnsi="Readex Pro" w:eastAsia="Readex Pro" w:cs="Readex Pro"/>
        </w:rPr>
        <w:t xml:space="preserve">Oberle, D. (2006). Semantic Management of Middleware (Vol. 1). Springer Science &amp; Business Media.</w:t>
      </w:r>
      <w:r>
        <w:rPr>
          <w:rFonts w:ascii="Readex Pro" w:hAnsi="Readex Pro" w:eastAsia="Readex Pro" w:cs="Readex Pro"/>
        </w:rPr>
      </w:r>
      <w:r>
        <w:rPr>
          <w:rFonts w:ascii="Readex Pro" w:hAnsi="Readex Pro" w:cs="Readex Pro"/>
        </w:rPr>
      </w:r>
    </w:p>
    <w:p>
      <w:pPr>
        <w:pStyle w:val="915"/>
        <w:pBdr/>
        <w:spacing/>
        <w:ind w:left="283"/>
        <w:jc w:val="left"/>
        <w:rPr>
          <w:rFonts w:ascii="Readex Pro" w:hAnsi="Readex Pro" w:cs="Readex Pro"/>
        </w:rPr>
      </w:pPr>
      <w:r>
        <w:rPr>
          <w:rFonts w:ascii="Readex Pro" w:hAnsi="Readex Pro" w:eastAsia="Readex Pro" w:cs="Readex Pro"/>
        </w:rPr>
        <w:t xml:space="preserve">Curry, E., Scerri, S., &amp; Tuikka, T. (2022). Data Spaces: Design, Deployment and Future Directions. Springer Nature.</w:t>
      </w:r>
      <w:r>
        <w:rPr>
          <w:rFonts w:ascii="Readex Pro" w:hAnsi="Readex Pro" w:eastAsia="Readex Pro" w:cs="Readex Pro"/>
        </w:rPr>
      </w:r>
      <w:r>
        <w:rPr>
          <w:rFonts w:ascii="Readex Pro" w:hAnsi="Readex Pro" w:cs="Readex Pro"/>
        </w:rPr>
      </w:r>
    </w:p>
    <w:p>
      <w:pPr>
        <w:pStyle w:val="915"/>
        <w:pBdr/>
        <w:spacing/>
        <w:ind w:left="283"/>
        <w:jc w:val="left"/>
        <w:rPr>
          <w:rFonts w:ascii="Readex Pro" w:hAnsi="Readex Pro" w:cs="Readex Pro"/>
        </w:rPr>
      </w:pPr>
      <w:r>
        <w:rPr>
          <w:rFonts w:ascii="Readex Pro" w:hAnsi="Readex Pro" w:eastAsia="Readex Pro" w:cs="Readex Pro"/>
        </w:rPr>
        <w:t xml:space="preserve">Surianarayanan, C., Ganapathy, G., &amp; Pethuru, R. (2019). Essentials of Microservices Architecture: Paradigms, Applications, and Techniques. Taylor &amp; Francis.</w:t>
      </w:r>
      <w:r>
        <w:rPr>
          <w:rFonts w:ascii="Readex Pro" w:hAnsi="Readex Pro" w:eastAsia="Readex Pro" w:cs="Readex Pro"/>
        </w:rPr>
      </w:r>
      <w:r>
        <w:rPr>
          <w:rFonts w:ascii="Readex Pro" w:hAnsi="Readex Pro" w:cs="Readex Pro"/>
        </w:rPr>
      </w:r>
    </w:p>
    <w:p>
      <w:pPr>
        <w:pStyle w:val="915"/>
        <w:pBdr/>
        <w:spacing/>
        <w:ind w:left="283"/>
        <w:jc w:val="left"/>
        <w:rPr>
          <w:rFonts w:ascii="Readex Pro" w:hAnsi="Readex Pro" w:cs="Readex Pro"/>
        </w:rPr>
      </w:pPr>
      <w:r>
        <w:rPr>
          <w:rFonts w:ascii="Readex Pro" w:hAnsi="Readex Pro" w:eastAsia="Readex Pro" w:cs="Readex Pro"/>
        </w:rPr>
        <w:t xml:space="preserve">Madni, A. M., &amp; Sievers, M. (2014). Systems Integration: Key Perspectives, Experiences, and Challenges. Systems Engineering, 17(1), 37-51.</w:t>
      </w:r>
      <w:r>
        <w:rPr>
          <w:rFonts w:ascii="Readex Pro" w:hAnsi="Readex Pro" w:eastAsia="Readex Pro" w:cs="Readex Pro"/>
        </w:rPr>
      </w:r>
      <w:r>
        <w:rPr>
          <w:rFonts w:ascii="Readex Pro" w:hAnsi="Readex Pro" w:cs="Readex Pro"/>
        </w:rPr>
      </w:r>
    </w:p>
    <w:p>
      <w:pPr>
        <w:pStyle w:val="915"/>
        <w:pBdr/>
        <w:spacing/>
        <w:ind w:left="283"/>
        <w:jc w:val="left"/>
        <w:rPr>
          <w:rFonts w:ascii="Readex Pro" w:hAnsi="Readex Pro" w:cs="Readex Pro"/>
        </w:rPr>
      </w:pPr>
      <w:r>
        <w:rPr>
          <w:rFonts w:ascii="Readex Pro" w:hAnsi="Readex Pro" w:eastAsia="Readex Pro" w:cs="Readex Pro"/>
        </w:rPr>
        <w:t xml:space="preserve">Confluent, Inc. (2024). Apache Kafka Documentation.</w:t>
      </w:r>
      <w:r>
        <w:rPr>
          <w:rFonts w:ascii="Readex Pro" w:hAnsi="Readex Pro" w:eastAsia="Readex Pro" w:cs="Readex Pro"/>
        </w:rPr>
      </w:r>
      <w:r>
        <w:rPr>
          <w:rFonts w:ascii="Readex Pro" w:hAnsi="Readex Pro" w:cs="Readex Pro"/>
        </w:rPr>
      </w:r>
    </w:p>
    <w:p>
      <w:pPr>
        <w:pStyle w:val="915"/>
        <w:pBdr/>
        <w:spacing/>
        <w:ind w:left="283"/>
        <w:jc w:val="left"/>
        <w:rPr>
          <w:rFonts w:ascii="Readex Pro" w:hAnsi="Readex Pro" w:cs="Readex Pro"/>
        </w:rPr>
      </w:pPr>
      <w:r>
        <w:rPr>
          <w:rFonts w:ascii="Readex Pro" w:hAnsi="Readex Pro" w:eastAsia="Readex Pro" w:cs="Readex Pro"/>
        </w:rPr>
        <w:t xml:space="preserve">Broadcom Inc. (2024). RabbitMQ Documentation: AMQP 0-9-1 Protocol, Dead Letter Exchanges.</w:t>
      </w:r>
      <w:r>
        <w:rPr>
          <w:rFonts w:ascii="Readex Pro" w:hAnsi="Readex Pro" w:eastAsia="Readex Pro" w:cs="Readex Pro"/>
        </w:rPr>
      </w:r>
      <w:r>
        <w:rPr>
          <w:rFonts w:ascii="Readex Pro" w:hAnsi="Readex Pro" w:cs="Readex Pro"/>
        </w:rPr>
      </w:r>
    </w:p>
    <w:p>
      <w:pPr>
        <w:pStyle w:val="915"/>
        <w:pBdr/>
        <w:spacing/>
        <w:ind w:left="283"/>
        <w:jc w:val="left"/>
        <w:rPr>
          <w:rFonts w:ascii="Readex Pro" w:hAnsi="Readex Pro" w:cs="Readex Pro"/>
        </w:rPr>
      </w:pPr>
      <w:r>
        <w:rPr>
          <w:rFonts w:ascii="Readex Pro" w:hAnsi="Readex Pro" w:eastAsia="Readex Pro" w:cs="Readex Pro"/>
        </w:rPr>
        <w:t xml:space="preserve">Microsoft. (2024). ASP.NET Core: Background Services e Health Checks. Microsoft Learn.</w:t>
      </w:r>
      <w:r>
        <w:rPr>
          <w:rFonts w:ascii="Readex Pro" w:hAnsi="Readex Pro" w:cs="Readex Pro"/>
        </w:rPr>
      </w:r>
    </w:p>
    <w:p w14:paraId="5DBC84AF">
      <w:pPr>
        <w:pBdr/>
        <w:shd w:val="nil"/>
        <w:spacing/>
        <w:ind/>
        <w:rPr>
          <w:rFonts w:ascii="Readex Pro" w:hAnsi="Readex Pro" w:cs="Readex Pro"/>
        </w:rPr>
      </w:pPr>
      <w:r>
        <w:rPr>
          <w:rFonts w:ascii="Readex Pro" w:hAnsi="Readex Pro" w:cs="Readex Pro"/>
        </w:rPr>
        <w:br w:type="page" w:clear="all"/>
      </w:r>
      <w:r>
        <w:rPr>
          <w:rFonts w:ascii="Readex Pro" w:hAnsi="Readex Pro" w:cs="Readex Pro"/>
        </w:rPr>
      </w:r>
      <w:r>
        <w:rPr>
          <w:rFonts w:ascii="Readex Pro" w:hAnsi="Readex Pro" w:cs="Readex Pro"/>
        </w:rPr>
      </w:r>
    </w:p>
    <w:p w14:paraId="40995AB6">
      <w:pPr>
        <w:pStyle w:val="885"/>
        <w:pBdr/>
        <w:spacing/>
        <w:ind/>
        <w:rPr>
          <w:rFonts w:ascii="Readex Pro" w:hAnsi="Readex Pro" w:cs="Readex Pro"/>
        </w:rPr>
      </w:pPr>
      <w:r/>
      <w:bookmarkStart w:id="42" w:name="_Toc42"/>
      <w:r>
        <w:rPr>
          <w:rFonts w:ascii="Readex Pro" w:hAnsi="Readex Pro" w:eastAsia="Readex Pro" w:cs="Readex Pro"/>
          <w:highlight w:val="none"/>
          <w:lang w:val="pt-BR"/>
        </w:rPr>
        <w:t xml:space="preserve">Anexo 1 - Código Fonte</w:t>
      </w:r>
      <w:r>
        <mc:AlternateContent>
          <mc:Choice Requires="wpg">
            <w:drawing>
              <wp:anchor xmlns:wp="http://schemas.openxmlformats.org/drawingml/2006/wordprocessingDrawing" xmlns:wp14="http://schemas.microsoft.com/office/word/2010/wordprocessingDrawing" distT="0" distB="0" distL="115200" distR="115200" simplePos="0" relativeHeight="16384" behindDoc="0" locked="0" layoutInCell="1" allowOverlap="1">
                <wp:simplePos x="0" y="0"/>
                <wp:positionH relativeFrom="margin">
                  <wp:align>center</wp:align>
                </wp:positionH>
                <wp:positionV relativeFrom="margin">
                  <wp:align>center</wp:align>
                </wp:positionV>
                <wp:extent cx="5588000" cy="1576917"/>
                <wp:effectExtent l="3175" t="3175" r="3175" b="3175"/>
                <wp:wrapNone/>
                <wp:docPr id="7" name=""/>
                <wp:cNvGraphicFramePr/>
                <a:graphic xmlns:a="http://schemas.openxmlformats.org/drawingml/2006/main">
                  <a:graphicData uri="http://schemas.microsoft.com/office/word/2010/wordprocessingShape">
                    <wps:wsp>
                      <wps:cNvPr id="582297989" name=""/>
                      <wps:cNvSpPr txBox="1"/>
                      <wps:spPr bwMode="auto">
                        <a:xfrm rot="0" flipH="0" flipV="0">
                          <a:off x="0" y="0"/>
                          <a:ext cx="5587999" cy="1576916"/>
                        </a:xfrm>
                        <a:prstGeom prst="rect">
                          <a:avLst/>
                        </a:prstGeom>
                        <a:noFill/>
                        <a:ln w="6350">
                          <a:solidFill>
                            <a:schemeClr val="bg1"/>
                          </a:solidFill>
                          <a:prstDash val="solid"/>
                        </a:ln>
                      </wps:spPr>
                      <wps:txbx>
                        <w:txbxContent>
                          <w:p w14:paraId="59A1D66D">
                            <w:pPr>
                              <w:pBdr/>
                              <w:spacing/>
                              <w:ind w:firstLine="0" w:left="0"/>
                              <w:jc w:val="center"/>
                              <w:rPr>
                                <w:rFonts w:ascii="Readex Pro" w:hAnsi="Readex Pro" w:eastAsia="Readex Pro" w:cs="Readex Pro"/>
                                <w:highlight w:val="none"/>
                                <w:lang w:val="pt-BR"/>
                              </w:rPr>
                            </w:pPr>
                            <w:r>
                              <w:rPr>
                                <w:rFonts w:ascii="Readex Pro" w:hAnsi="Readex Pro" w:eastAsia="Readex Pro" w:cs="Readex Pro"/>
                                <w:highlight w:val="none"/>
                                <w:lang w:val="pt-BR"/>
                              </w:rPr>
                              <w:t xml:space="preserve">O código fonte deste </w:t>
                            </w:r>
                            <w:r>
                              <w:rPr>
                                <w:rFonts w:ascii="Readex Pro" w:hAnsi="Readex Pro" w:eastAsia="Readex Pro" w:cs="Readex Pro"/>
                                <w:highlight w:val="none"/>
                                <w:lang w:val="pt-BR"/>
                              </w:rPr>
                              <w:t xml:space="preserve">projeto está disponível publicamente no GitHub em</w:t>
                              <w:br/>
                            </w:r>
                            <w:r>
                              <w:rPr>
                                <w:rFonts w:ascii="Readex Pro" w:hAnsi="Readex Pro" w:eastAsia="Readex Pro" w:cs="Readex Pro"/>
                                <w:color w:val="d1a54d"/>
                                <w:highlight w:val="none"/>
                                <w:lang w:val="pt-BR"/>
                              </w:rPr>
                            </w:r>
                            <w:hyperlink r:id="rId18" w:tooltip="https://github.com/joaoesteves10/IS-BetStrike" w:history="1">
                              <w:r>
                                <w:rPr>
                                  <w:rStyle w:val="867"/>
                                  <w:rFonts w:ascii="Readex Pro" w:hAnsi="Readex Pro" w:eastAsia="Readex Pro" w:cs="Readex Pro"/>
                                  <w:color w:val="d1a54d"/>
                                  <w:highlight w:val="none"/>
                                  <w:lang w:val="pt-BR"/>
                                </w:rPr>
                                <w:t xml:space="preserve">https://github.com/joaoesteves10/IS-BetStrike</w:t>
                              </w:r>
                              <w:r>
                                <w:rPr>
                                  <w:rStyle w:val="867"/>
                                  <w:rFonts w:ascii="Readex Pro" w:hAnsi="Readex Pro" w:eastAsia="Readex Pro" w:cs="Readex Pro"/>
                                  <w:color w:val="d1a54d"/>
                                  <w:highlight w:val="none"/>
                                  <w:lang w:val="pt-BR"/>
                                </w:rPr>
                              </w:r>
                            </w:hyperlink>
                            <w:r>
                              <w:rPr>
                                <w:color w:val="d1a54d"/>
                              </w:rPr>
                            </w:r>
                            <w:r>
                              <w:rPr>
                                <w:rFonts w:ascii="Readex Pro" w:hAnsi="Readex Pro" w:eastAsia="Readex Pro" w:cs="Readex Pro"/>
                                <w:highlight w:val="none"/>
                                <w:lang w:val="pt-BR"/>
                              </w:rPr>
                            </w:r>
                          </w:p>
                        </w:txbxContent>
                      </wps:txbx>
                      <wps:bodyPr vertOverflow="overflow" horzOverflow="overflow" vert="horz" wrap="square" lIns="91440" tIns="45720" rIns="91440" bIns="45720" numCol="1" spcCol="0" rtlCol="0" fromWordArt="0" anchor="ctr" anchorCtr="0" forceAA="0" upright="0" compatLnSpc="0"/>
                    </wps:wsp>
                  </a:graphicData>
                </a:graphic>
              </wp:anchor>
            </w:drawing>
          </mc:Choice>
          <mc:Fallback>
            <w:pict>
              <v:shape id="shape 6" o:spid="_x0000_s6" o:spt="202" type="#_x0000_t202" style="position:absolute;z-index:16384;o:allowoverlap:true;o:allowincell:true;mso-position-horizontal-relative:margin;mso-position-horizontal:center;mso-position-vertical-relative:margin;mso-position-vertical:center;width:440.00pt;height:124.17pt;mso-wrap-distance-left:9.07pt;mso-wrap-distance-top:0.00pt;mso-wrap-distance-right:9.07pt;mso-wrap-distance-bottom:0.00pt;rotation:0;v-text-anchor:middle;visibility:visible;" filled="f" strokecolor="#FFFFFF" strokeweight="0.50pt">
                <v:stroke dashstyle="solid"/>
                <v:textbox inset="0,0,0,0">
                  <w:txbxContent>
                    <w:p w14:paraId="59A1D66D">
                      <w:pPr>
                        <w:pBdr/>
                        <w:spacing/>
                        <w:ind w:firstLine="0" w:left="0"/>
                        <w:jc w:val="center"/>
                        <w:rPr>
                          <w:rFonts w:ascii="Readex Pro" w:hAnsi="Readex Pro" w:eastAsia="Readex Pro" w:cs="Readex Pro"/>
                          <w:highlight w:val="none"/>
                          <w:lang w:val="pt-BR"/>
                        </w:rPr>
                      </w:pPr>
                      <w:r>
                        <w:rPr>
                          <w:rFonts w:ascii="Readex Pro" w:hAnsi="Readex Pro" w:eastAsia="Readex Pro" w:cs="Readex Pro"/>
                          <w:highlight w:val="none"/>
                          <w:lang w:val="pt-BR"/>
                        </w:rPr>
                        <w:t xml:space="preserve">O código fonte deste </w:t>
                      </w:r>
                      <w:r>
                        <w:rPr>
                          <w:rFonts w:ascii="Readex Pro" w:hAnsi="Readex Pro" w:eastAsia="Readex Pro" w:cs="Readex Pro"/>
                          <w:highlight w:val="none"/>
                          <w:lang w:val="pt-BR"/>
                        </w:rPr>
                        <w:t xml:space="preserve">projeto está disponível publicamente no GitHub em</w:t>
                        <w:br/>
                      </w:r>
                      <w:r>
                        <w:rPr>
                          <w:rFonts w:ascii="Readex Pro" w:hAnsi="Readex Pro" w:eastAsia="Readex Pro" w:cs="Readex Pro"/>
                          <w:color w:val="d1a54d"/>
                          <w:highlight w:val="none"/>
                          <w:lang w:val="pt-BR"/>
                        </w:rPr>
                      </w:r>
                      <w:hyperlink r:id="rId18" w:tooltip="https://github.com/joaoesteves10/IS-BetStrike" w:history="1">
                        <w:r>
                          <w:rPr>
                            <w:rStyle w:val="867"/>
                            <w:rFonts w:ascii="Readex Pro" w:hAnsi="Readex Pro" w:eastAsia="Readex Pro" w:cs="Readex Pro"/>
                            <w:color w:val="d1a54d"/>
                            <w:highlight w:val="none"/>
                            <w:lang w:val="pt-BR"/>
                          </w:rPr>
                          <w:t xml:space="preserve">https://github.com/joaoesteves10/IS-BetStrike</w:t>
                        </w:r>
                        <w:r>
                          <w:rPr>
                            <w:rStyle w:val="867"/>
                            <w:rFonts w:ascii="Readex Pro" w:hAnsi="Readex Pro" w:eastAsia="Readex Pro" w:cs="Readex Pro"/>
                            <w:color w:val="d1a54d"/>
                            <w:highlight w:val="none"/>
                            <w:lang w:val="pt-BR"/>
                          </w:rPr>
                        </w:r>
                      </w:hyperlink>
                      <w:r>
                        <w:rPr>
                          <w:color w:val="d1a54d"/>
                        </w:rPr>
                      </w:r>
                      <w:r>
                        <w:rPr>
                          <w:rFonts w:ascii="Readex Pro" w:hAnsi="Readex Pro" w:eastAsia="Readex Pro" w:cs="Readex Pro"/>
                          <w:highlight w:val="none"/>
                          <w:lang w:val="pt-BR"/>
                        </w:rPr>
                      </w:r>
                    </w:p>
                  </w:txbxContent>
                </v:textbox>
              </v:shape>
            </w:pict>
          </mc:Fallback>
        </mc:AlternateContent>
      </w:r>
      <w:r>
        <w:rPr>
          <w:rFonts w:ascii="Readex Pro" w:hAnsi="Readex Pro" w:eastAsia="Readex Pro" w:cs="Readex Pro"/>
          <w:highlight w:val="none"/>
          <w:lang w:val="pt-BR"/>
        </w:rPr>
      </w:r>
      <w:bookmarkEnd w:id="42"/>
      <w:r/>
      <w:r>
        <w:rPr>
          <w:rFonts w:ascii="Readex Pro" w:hAnsi="Readex Pro" w:cs="Readex Pro"/>
        </w:rPr>
      </w:r>
    </w:p>
    <w:sectPr>
      <w:headerReference w:type="default" r:id="rId10"/>
      <w:footnotePr/>
      <w:endnotePr/>
      <w:type w:val="nextPage"/>
      <w:pgSz w:h="15840" w:orient="portrait" w:w="12240"/>
      <w:pgMar w:top="1417" w:right="1417" w:bottom="1417"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JetBrains Mono">
    <w:panose1 w:val="02000009000000000000"/>
  </w:font>
  <w:font w:name="Wingdings">
    <w:panose1 w:val="05010000000000000000"/>
  </w:font>
  <w:font w:name="Courier New">
    <w:panose1 w:val="02070309020205020404"/>
  </w:font>
  <w:font w:name="Symbol">
    <w:panose1 w:val="05010000000000000000"/>
  </w:font>
  <w:font w:name="Courier">
    <w:panose1 w:val="02070309020205020404"/>
  </w:font>
  <w:font w:name="Readex Pro"/>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EB897E8">
    <w:pPr>
      <w:pStyle w:val="88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2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1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1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1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1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1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9">
    <w:nsid w:val="528DDE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6">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cecd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cecd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cecd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cecd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cedd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cedd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f1aa3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cca2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b58b80"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dbc1a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1957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17529"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cecd4" w:themeFill="accent1" w:themeFillTint="34"/>
    </w:tblPr>
    <w:tcPr>
      <w:tcBorders/>
    </w:tcPr>
    <w:tblStylePr w:type="band1Horz">
      <w:pPr>
        <w:pBdr/>
        <w:spacing/>
        <w:ind/>
      </w:pPr>
      <w:tblPr>
        <w:tblBorders/>
      </w:tblPr>
      <w:tcPr>
        <w:shd w:val="clear" w:color="ffffff" w:themeColor="accent1" w:themeTint="75" w:fill="f8d49f" w:themeFill="accent1" w:themeFillTint="75"/>
        <w:tcBorders/>
      </w:tcPr>
    </w:tblStylePr>
    <w:tblStylePr w:type="band1Vert">
      <w:pPr>
        <w:pBdr/>
        <w:spacing/>
        <w:ind/>
      </w:pPr>
      <w:tblPr>
        <w:tblBorders/>
      </w:tblPr>
      <w:tcPr>
        <w:shd w:val="clear" w:color="ffffff" w:themeColor="accent1" w:themeTint="75" w:fill="f8d49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f0a22e" w:themeFill="accent1"/>
        <w:tcBorders/>
      </w:tcPr>
    </w:tblStylePr>
    <w:tblStylePr w:type="firstRow">
      <w:rPr>
        <w:rFonts w:ascii="Arial" w:hAnsi="Arial"/>
        <w:b/>
        <w:color w:val="ffffff"/>
        <w:sz w:val="22"/>
      </w:rPr>
      <w:pPr>
        <w:pBdr/>
        <w:spacing/>
        <w:ind/>
      </w:pPr>
      <w:tblPr>
        <w:tblBorders/>
      </w:tblPr>
      <w:tcPr>
        <w:shd w:val="clear" w:color="ffffff" w:themeColor="accent1" w:fill="f0a22e" w:themeFill="accent1"/>
        <w:tcBorders/>
      </w:tcPr>
    </w:tblStylePr>
    <w:tblStylePr w:type="lastCol">
      <w:rPr>
        <w:rFonts w:ascii="Arial" w:hAnsi="Arial"/>
        <w:b/>
        <w:color w:val="ffffff"/>
        <w:sz w:val="22"/>
      </w:rPr>
      <w:pPr>
        <w:pBdr/>
        <w:spacing/>
        <w:ind/>
      </w:pPr>
      <w:tblPr>
        <w:tblBorders/>
      </w:tblPr>
      <w:tcPr>
        <w:shd w:val="clear" w:color="ffffff" w:themeColor="accent1" w:fill="f0a22e" w:themeFill="accent1"/>
        <w:tcBorders/>
      </w:tcPr>
    </w:tblStylePr>
    <w:tblStylePr w:type="lastRow">
      <w:rPr>
        <w:rFonts w:ascii="Arial" w:hAnsi="Arial"/>
        <w:b/>
        <w:color w:val="ffffff"/>
        <w:sz w:val="22"/>
      </w:rPr>
      <w:pPr>
        <w:pBdr/>
        <w:spacing/>
        <w:ind/>
      </w:pPr>
      <w:tblPr>
        <w:tblBorders/>
      </w:tblPr>
      <w:tcPr>
        <w:shd w:val="clear" w:color="ffffff" w:themeColor="accent1" w:fill="f0a22e"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eee0db" w:themeFill="accent2" w:themeFillTint="32"/>
    </w:tblPr>
    <w:tcPr>
      <w:tcBorders/>
    </w:tcPr>
    <w:tblStylePr w:type="band1Horz">
      <w:pPr>
        <w:pBdr/>
        <w:spacing/>
        <w:ind/>
      </w:pPr>
      <w:tblPr>
        <w:tblBorders/>
      </w:tblPr>
      <w:tcPr>
        <w:shd w:val="clear" w:color="ffffff" w:themeColor="accent2" w:themeTint="75" w:fill="d8b7ac" w:themeFill="accent2" w:themeFillTint="75"/>
        <w:tcBorders/>
      </w:tcPr>
    </w:tblStylePr>
    <w:tblStylePr w:type="band1Vert">
      <w:pPr>
        <w:pBdr/>
        <w:spacing/>
        <w:ind/>
      </w:pPr>
      <w:tblPr>
        <w:tblBorders/>
      </w:tblPr>
      <w:tcPr>
        <w:shd w:val="clear" w:color="ffffff" w:themeColor="accent2" w:themeTint="75" w:fill="d8b7a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a5644e" w:themeFill="accent2"/>
        <w:tcBorders/>
      </w:tcPr>
    </w:tblStylePr>
    <w:tblStylePr w:type="firstRow">
      <w:rPr>
        <w:rFonts w:ascii="Arial" w:hAnsi="Arial"/>
        <w:b/>
        <w:color w:val="ffffff"/>
        <w:sz w:val="22"/>
      </w:rPr>
      <w:pPr>
        <w:pBdr/>
        <w:spacing/>
        <w:ind/>
      </w:pPr>
      <w:tblPr>
        <w:tblBorders/>
      </w:tblPr>
      <w:tcPr>
        <w:shd w:val="clear" w:color="ffffff" w:themeColor="accent2" w:fill="a5644e" w:themeFill="accent2"/>
        <w:tcBorders/>
      </w:tcPr>
    </w:tblStylePr>
    <w:tblStylePr w:type="lastCol">
      <w:rPr>
        <w:rFonts w:ascii="Arial" w:hAnsi="Arial"/>
        <w:b/>
        <w:color w:val="ffffff"/>
        <w:sz w:val="22"/>
      </w:rPr>
      <w:pPr>
        <w:pBdr/>
        <w:spacing/>
        <w:ind/>
      </w:pPr>
      <w:tblPr>
        <w:tblBorders/>
      </w:tblPr>
      <w:tcPr>
        <w:shd w:val="clear" w:color="ffffff" w:themeColor="accent2" w:fill="a5644e" w:themeFill="accent2"/>
        <w:tcBorders/>
      </w:tcPr>
    </w:tblStylePr>
    <w:tblStylePr w:type="lastRow">
      <w:rPr>
        <w:rFonts w:ascii="Arial" w:hAnsi="Arial"/>
        <w:b/>
        <w:color w:val="ffffff"/>
        <w:sz w:val="22"/>
      </w:rPr>
      <w:pPr>
        <w:pBdr/>
        <w:spacing/>
        <w:ind/>
      </w:pPr>
      <w:tblPr>
        <w:tblBorders/>
      </w:tblPr>
      <w:tcPr>
        <w:shd w:val="clear" w:color="ffffff" w:themeColor="accent2" w:fill="a5644e"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0e7e5" w:themeFill="accent3" w:themeFillTint="34"/>
    </w:tblPr>
    <w:tcPr>
      <w:tcBorders/>
    </w:tcPr>
    <w:tblStylePr w:type="band1Horz">
      <w:pPr>
        <w:pBdr/>
        <w:spacing/>
        <w:ind/>
      </w:pPr>
      <w:tblPr>
        <w:tblBorders/>
      </w:tblPr>
      <w:tcPr>
        <w:shd w:val="clear" w:color="ffffff" w:themeColor="accent3" w:themeTint="75" w:fill="ddcac5" w:themeFill="accent3" w:themeFillTint="75"/>
        <w:tcBorders/>
      </w:tcPr>
    </w:tblStylePr>
    <w:tblStylePr w:type="band1Vert">
      <w:pPr>
        <w:pBdr/>
        <w:spacing/>
        <w:ind/>
      </w:pPr>
      <w:tblPr>
        <w:tblBorders/>
      </w:tblPr>
      <w:tcPr>
        <w:shd w:val="clear" w:color="ffffff" w:themeColor="accent3" w:themeTint="75" w:fill="ddcac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b58b80" w:themeFill="accent3"/>
        <w:tcBorders/>
      </w:tcPr>
    </w:tblStylePr>
    <w:tblStylePr w:type="firstRow">
      <w:rPr>
        <w:rFonts w:ascii="Arial" w:hAnsi="Arial"/>
        <w:b/>
        <w:color w:val="ffffff"/>
        <w:sz w:val="22"/>
      </w:rPr>
      <w:pPr>
        <w:pBdr/>
        <w:spacing/>
        <w:ind/>
      </w:pPr>
      <w:tblPr>
        <w:tblBorders/>
      </w:tblPr>
      <w:tcPr>
        <w:shd w:val="clear" w:color="ffffff" w:themeColor="accent3" w:fill="b58b80" w:themeFill="accent3"/>
        <w:tcBorders/>
      </w:tcPr>
    </w:tblStylePr>
    <w:tblStylePr w:type="lastCol">
      <w:rPr>
        <w:rFonts w:ascii="Arial" w:hAnsi="Arial"/>
        <w:b/>
        <w:color w:val="ffffff"/>
        <w:sz w:val="22"/>
      </w:rPr>
      <w:pPr>
        <w:pBdr/>
        <w:spacing/>
        <w:ind/>
      </w:pPr>
      <w:tblPr>
        <w:tblBorders/>
      </w:tblPr>
      <w:tcPr>
        <w:shd w:val="clear" w:color="ffffff" w:themeColor="accent3" w:fill="b58b80" w:themeFill="accent3"/>
        <w:tcBorders/>
      </w:tcPr>
    </w:tblStylePr>
    <w:tblStylePr w:type="lastRow">
      <w:rPr>
        <w:rFonts w:ascii="Arial" w:hAnsi="Arial"/>
        <w:b/>
        <w:color w:val="ffffff"/>
        <w:sz w:val="22"/>
      </w:rPr>
      <w:pPr>
        <w:pBdr/>
        <w:spacing/>
        <w:ind/>
      </w:pPr>
      <w:tblPr>
        <w:tblBorders/>
      </w:tblPr>
      <w:tcPr>
        <w:shd w:val="clear" w:color="ffffff" w:themeColor="accent3" w:fill="b58b80"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3eae1" w:themeFill="accent4" w:themeFillTint="34"/>
    </w:tblPr>
    <w:tcPr>
      <w:tcBorders/>
    </w:tcPr>
    <w:tblStylePr w:type="band1Horz">
      <w:pPr>
        <w:pBdr/>
        <w:spacing/>
        <w:ind/>
      </w:pPr>
      <w:tblPr>
        <w:tblBorders/>
      </w:tblPr>
      <w:tcPr>
        <w:shd w:val="clear" w:color="ffffff" w:themeColor="accent4" w:themeTint="75" w:fill="e3d0bc" w:themeFill="accent4" w:themeFillTint="75"/>
        <w:tcBorders/>
      </w:tcPr>
    </w:tblStylePr>
    <w:tblStylePr w:type="band1Vert">
      <w:pPr>
        <w:pBdr/>
        <w:spacing/>
        <w:ind/>
      </w:pPr>
      <w:tblPr>
        <w:tblBorders/>
      </w:tblPr>
      <w:tcPr>
        <w:shd w:val="clear" w:color="ffffff" w:themeColor="accent4" w:themeTint="75" w:fill="e3d0b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c3986d" w:themeFill="accent4"/>
        <w:tcBorders/>
      </w:tcPr>
    </w:tblStylePr>
    <w:tblStylePr w:type="firstRow">
      <w:rPr>
        <w:rFonts w:ascii="Arial" w:hAnsi="Arial"/>
        <w:b/>
        <w:color w:val="ffffff"/>
        <w:sz w:val="22"/>
      </w:rPr>
      <w:pPr>
        <w:pBdr/>
        <w:spacing/>
        <w:ind/>
      </w:pPr>
      <w:tblPr>
        <w:tblBorders/>
      </w:tblPr>
      <w:tcPr>
        <w:shd w:val="clear" w:color="ffffff" w:themeColor="accent4" w:fill="c3986d" w:themeFill="accent4"/>
        <w:tcBorders/>
      </w:tcPr>
    </w:tblStylePr>
    <w:tblStylePr w:type="lastCol">
      <w:rPr>
        <w:rFonts w:ascii="Arial" w:hAnsi="Arial"/>
        <w:b/>
        <w:color w:val="ffffff"/>
        <w:sz w:val="22"/>
      </w:rPr>
      <w:pPr>
        <w:pBdr/>
        <w:spacing/>
        <w:ind/>
      </w:pPr>
      <w:tblPr>
        <w:tblBorders/>
      </w:tblPr>
      <w:tcPr>
        <w:shd w:val="clear" w:color="ffffff" w:themeColor="accent4" w:fill="c3986d" w:themeFill="accent4"/>
        <w:tcBorders/>
      </w:tcPr>
    </w:tblStylePr>
    <w:tblStylePr w:type="lastRow">
      <w:rPr>
        <w:rFonts w:ascii="Arial" w:hAnsi="Arial"/>
        <w:b/>
        <w:color w:val="ffffff"/>
        <w:sz w:val="22"/>
      </w:rPr>
      <w:pPr>
        <w:pBdr/>
        <w:spacing/>
        <w:ind/>
      </w:pPr>
      <w:tblPr>
        <w:tblBorders/>
      </w:tblPr>
      <w:tcPr>
        <w:shd w:val="clear" w:color="ffffff" w:themeColor="accent4" w:fill="c3986d"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ce9e3" w:themeFill="accent5" w:themeFillTint="34"/>
    </w:tblPr>
    <w:tcPr>
      <w:tcBorders/>
    </w:tcPr>
    <w:tblStylePr w:type="band1Horz">
      <w:pPr>
        <w:pBdr/>
        <w:spacing/>
        <w:ind/>
      </w:pPr>
      <w:tblPr>
        <w:tblBorders/>
      </w:tblPr>
      <w:tcPr>
        <w:shd w:val="clear" w:color="ffffff" w:themeColor="accent5" w:themeTint="75" w:fill="d4cebf" w:themeFill="accent5" w:themeFillTint="75"/>
        <w:tcBorders/>
      </w:tcPr>
    </w:tblStylePr>
    <w:tblStylePr w:type="band1Vert">
      <w:pPr>
        <w:pBdr/>
        <w:spacing/>
        <w:ind/>
      </w:pPr>
      <w:tblPr>
        <w:tblBorders/>
      </w:tblPr>
      <w:tcPr>
        <w:shd w:val="clear" w:color="ffffff" w:themeColor="accent5" w:themeTint="75" w:fill="d4cebf"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19574" w:themeFill="accent5"/>
        <w:tcBorders/>
      </w:tcPr>
    </w:tblStylePr>
    <w:tblStylePr w:type="firstRow">
      <w:rPr>
        <w:rFonts w:ascii="Arial" w:hAnsi="Arial"/>
        <w:b/>
        <w:color w:val="ffffff"/>
        <w:sz w:val="22"/>
      </w:rPr>
      <w:pPr>
        <w:pBdr/>
        <w:spacing/>
        <w:ind/>
      </w:pPr>
      <w:tblPr>
        <w:tblBorders/>
      </w:tblPr>
      <w:tcPr>
        <w:shd w:val="clear" w:color="ffffff" w:themeColor="accent5" w:fill="a19574" w:themeFill="accent5"/>
        <w:tcBorders/>
      </w:tcPr>
    </w:tblStylePr>
    <w:tblStylePr w:type="lastCol">
      <w:rPr>
        <w:rFonts w:ascii="Arial" w:hAnsi="Arial"/>
        <w:b/>
        <w:color w:val="ffffff"/>
        <w:sz w:val="22"/>
      </w:rPr>
      <w:pPr>
        <w:pBdr/>
        <w:spacing/>
        <w:ind/>
      </w:pPr>
      <w:tblPr>
        <w:tblBorders/>
      </w:tblPr>
      <w:tcPr>
        <w:shd w:val="clear" w:color="ffffff" w:themeColor="accent5" w:fill="a19574" w:themeFill="accent5"/>
        <w:tcBorders/>
      </w:tcPr>
    </w:tblStylePr>
    <w:tblStylePr w:type="lastRow">
      <w:rPr>
        <w:rFonts w:ascii="Arial" w:hAnsi="Arial"/>
        <w:b/>
        <w:color w:val="ffffff"/>
        <w:sz w:val="22"/>
      </w:rPr>
      <w:pPr>
        <w:pBdr/>
        <w:spacing/>
        <w:ind/>
      </w:pPr>
      <w:tblPr>
        <w:tblBorders/>
      </w:tblPr>
      <w:tcPr>
        <w:shd w:val="clear" w:color="ffffff" w:themeColor="accent5" w:fill="a1957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5e3d1" w:themeFill="accent6" w:themeFillTint="34"/>
    </w:tblPr>
    <w:tcPr>
      <w:tcBorders/>
    </w:tcPr>
    <w:tblStylePr w:type="band1Horz">
      <w:pPr>
        <w:pBdr/>
        <w:spacing/>
        <w:ind/>
      </w:pPr>
      <w:tblPr>
        <w:tblBorders/>
      </w:tblPr>
      <w:tcPr>
        <w:shd w:val="clear" w:color="ffffff" w:themeColor="accent6" w:themeTint="75" w:fill="e9c097" w:themeFill="accent6" w:themeFillTint="75"/>
        <w:tcBorders/>
      </w:tcPr>
    </w:tblStylePr>
    <w:tblStylePr w:type="band1Vert">
      <w:pPr>
        <w:pBdr/>
        <w:spacing/>
        <w:ind/>
      </w:pPr>
      <w:tblPr>
        <w:tblBorders/>
      </w:tblPr>
      <w:tcPr>
        <w:shd w:val="clear" w:color="ffffff" w:themeColor="accent6" w:themeTint="75" w:fill="e9c097"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17529" w:themeFill="accent6"/>
        <w:tcBorders/>
      </w:tcPr>
    </w:tblStylePr>
    <w:tblStylePr w:type="firstRow">
      <w:rPr>
        <w:rFonts w:ascii="Arial" w:hAnsi="Arial"/>
        <w:b/>
        <w:color w:val="ffffff"/>
        <w:sz w:val="22"/>
      </w:rPr>
      <w:pPr>
        <w:pBdr/>
        <w:spacing/>
        <w:ind/>
      </w:pPr>
      <w:tblPr>
        <w:tblBorders/>
      </w:tblPr>
      <w:tcPr>
        <w:shd w:val="clear" w:color="ffffff" w:themeColor="accent6" w:fill="c17529" w:themeFill="accent6"/>
        <w:tcBorders/>
      </w:tcPr>
    </w:tblStylePr>
    <w:tblStylePr w:type="lastCol">
      <w:rPr>
        <w:rFonts w:ascii="Arial" w:hAnsi="Arial"/>
        <w:b/>
        <w:color w:val="ffffff"/>
        <w:sz w:val="22"/>
      </w:rPr>
      <w:pPr>
        <w:pBdr/>
        <w:spacing/>
        <w:ind/>
      </w:pPr>
      <w:tblPr>
        <w:tblBorders/>
      </w:tblPr>
      <w:tcPr>
        <w:shd w:val="clear" w:color="ffffff" w:themeColor="accent6" w:fill="c17529" w:themeFill="accent6"/>
        <w:tcBorders/>
      </w:tcPr>
    </w:tblStylePr>
    <w:tblStylePr w:type="lastRow">
      <w:rPr>
        <w:rFonts w:ascii="Arial" w:hAnsi="Arial"/>
        <w:b/>
        <w:color w:val="ffffff"/>
        <w:sz w:val="22"/>
      </w:rPr>
      <w:pPr>
        <w:pBdr/>
        <w:spacing/>
        <w:ind/>
      </w:pPr>
      <w:tblPr>
        <w:tblBorders/>
      </w:tblPr>
      <w:tcPr>
        <w:shd w:val="clear" w:color="ffffff" w:themeColor="accent6" w:fill="c17529"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8">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fcecd4" w:themeFill="accent1" w:themeFillTint="34"/>
        <w:tcBorders/>
      </w:tcPr>
    </w:tblStylePr>
    <w:tblStylePr w:type="band1Vert">
      <w:pPr>
        <w:pBdr/>
        <w:spacing/>
        <w:ind/>
      </w:pPr>
      <w:tblPr>
        <w:tblBorders/>
      </w:tblPr>
      <w:tcPr>
        <w:shd w:val="clear" w:color="ffffff" w:themeColor="accent1" w:themeTint="34" w:fill="fcecd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8810" w:themeColor="accent1" w:themeTint="80" w:themeShade="95"/>
      </w:rPr>
      <w:pPr>
        <w:pBdr/>
        <w:spacing/>
        <w:ind/>
      </w:pPr>
      <w:tblPr>
        <w:tblBorders/>
      </w:tblPr>
      <w:tcPr>
        <w:tcBorders/>
      </w:tcPr>
    </w:tblStylePr>
    <w:tblStylePr w:type="firstRow">
      <w:rPr>
        <w:b/>
        <w:color w:val="d98810" w:themeColor="accent1" w:themeTint="80" w:themeShade="95"/>
      </w:rPr>
      <w:pPr>
        <w:pBdr/>
        <w:spacing/>
        <w:ind/>
      </w:pPr>
      <w:tblPr>
        <w:tblBorders/>
      </w:tblPr>
      <w:tcPr>
        <w:tcBorders>
          <w:bottom w:val="single" w:color="000000" w:themeColor="accent1" w:themeTint="80" w:sz="12" w:space="0"/>
        </w:tcBorders>
      </w:tcPr>
    </w:tblStylePr>
    <w:tblStylePr w:type="lastCol">
      <w:rPr>
        <w:b/>
        <w:color w:val="d98810" w:themeColor="accent1" w:themeTint="80" w:themeShade="95"/>
      </w:rPr>
      <w:pPr>
        <w:pBdr/>
        <w:spacing/>
        <w:ind/>
      </w:pPr>
      <w:tblPr>
        <w:tblBorders/>
      </w:tblPr>
      <w:tcPr>
        <w:tcBorders/>
      </w:tcPr>
    </w:tblStylePr>
    <w:tblStylePr w:type="lastRow">
      <w:rPr>
        <w:b/>
        <w:color w:val="d98810"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9">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eee0db" w:themeFill="accent2" w:themeFillTint="32"/>
        <w:tcBorders/>
      </w:tcPr>
    </w:tblStylePr>
    <w:tblStylePr w:type="band1Vert">
      <w:pPr>
        <w:pBdr/>
        <w:spacing/>
        <w:ind/>
      </w:pPr>
      <w:tblPr>
        <w:tblBorders/>
      </w:tblPr>
      <w:tcPr>
        <w:shd w:val="clear" w:color="ffffff" w:themeColor="accent2" w:themeTint="32" w:fill="eee0db"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c5542" w:themeColor="accent2" w:themeTint="97" w:themeShade="95"/>
      </w:rPr>
      <w:pPr>
        <w:pBdr/>
        <w:spacing/>
        <w:ind/>
      </w:pPr>
      <w:tblPr>
        <w:tblBorders/>
      </w:tblPr>
      <w:tcPr>
        <w:tcBorders/>
      </w:tcPr>
    </w:tblStylePr>
    <w:tblStylePr w:type="firstRow">
      <w:rPr>
        <w:b/>
        <w:color w:val="8c5542" w:themeColor="accent2" w:themeTint="97" w:themeShade="95"/>
      </w:rPr>
      <w:pPr>
        <w:pBdr/>
        <w:spacing/>
        <w:ind/>
      </w:pPr>
      <w:tblPr>
        <w:tblBorders/>
      </w:tblPr>
      <w:tcPr>
        <w:tcBorders>
          <w:bottom w:val="single" w:color="000000" w:themeColor="accent2" w:themeTint="97" w:sz="12" w:space="0"/>
        </w:tcBorders>
      </w:tcPr>
    </w:tblStylePr>
    <w:tblStylePr w:type="lastCol">
      <w:rPr>
        <w:b/>
        <w:color w:val="8c5542" w:themeColor="accent2" w:themeTint="97" w:themeShade="95"/>
      </w:rPr>
      <w:pPr>
        <w:pBdr/>
        <w:spacing/>
        <w:ind/>
      </w:pPr>
      <w:tblPr>
        <w:tblBorders/>
      </w:tblPr>
      <w:tcPr>
        <w:tcBorders/>
      </w:tcPr>
    </w:tblStylePr>
    <w:tblStylePr w:type="lastRow">
      <w:rPr>
        <w:b/>
        <w:color w:val="8c554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0">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0e7e5" w:themeFill="accent3" w:themeFillTint="34"/>
        <w:tcBorders/>
      </w:tcPr>
    </w:tblStylePr>
    <w:tblStylePr w:type="band1Vert">
      <w:pPr>
        <w:pBdr/>
        <w:spacing/>
        <w:ind/>
      </w:pPr>
      <w:tblPr>
        <w:tblBorders/>
      </w:tblPr>
      <w:tcPr>
        <w:shd w:val="clear" w:color="ffffff" w:themeColor="accent3" w:themeTint="34" w:fill="f0e7e5"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24d43" w:themeColor="accent3" w:themeTint="FE" w:themeShade="95"/>
      </w:rPr>
      <w:pPr>
        <w:pBdr/>
        <w:spacing/>
        <w:ind/>
      </w:pPr>
      <w:tblPr>
        <w:tblBorders/>
      </w:tblPr>
      <w:tcPr>
        <w:tcBorders/>
      </w:tcPr>
    </w:tblStylePr>
    <w:tblStylePr w:type="firstRow">
      <w:rPr>
        <w:b/>
        <w:color w:val="724d43" w:themeColor="accent3" w:themeTint="FE" w:themeShade="95"/>
      </w:rPr>
      <w:pPr>
        <w:pBdr/>
        <w:spacing/>
        <w:ind/>
      </w:pPr>
      <w:tblPr>
        <w:tblBorders/>
      </w:tblPr>
      <w:tcPr>
        <w:tcBorders>
          <w:bottom w:val="single" w:color="000000" w:themeColor="accent3" w:themeTint="FE" w:sz="12" w:space="0"/>
        </w:tcBorders>
      </w:tcPr>
    </w:tblStylePr>
    <w:tblStylePr w:type="lastCol">
      <w:rPr>
        <w:b/>
        <w:color w:val="724d43" w:themeColor="accent3" w:themeTint="FE" w:themeShade="95"/>
      </w:rPr>
      <w:pPr>
        <w:pBdr/>
        <w:spacing/>
        <w:ind/>
      </w:pPr>
      <w:tblPr>
        <w:tblBorders/>
      </w:tblPr>
      <w:tcPr>
        <w:tcBorders/>
      </w:tcPr>
    </w:tblStylePr>
    <w:tblStylePr w:type="lastRow">
      <w:rPr>
        <w:b/>
        <w:color w:val="724d43"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1">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3eae1" w:themeFill="accent4" w:themeFillTint="34"/>
        <w:tcBorders/>
      </w:tcPr>
    </w:tblStylePr>
    <w:tblStylePr w:type="band1Vert">
      <w:pPr>
        <w:pBdr/>
        <w:spacing/>
        <w:ind/>
      </w:pPr>
      <w:tblPr>
        <w:tblBorders/>
      </w:tblPr>
      <w:tcPr>
        <w:shd w:val="clear" w:color="ffffff" w:themeColor="accent4" w:themeTint="34" w:fill="f3eae1"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7142" w:themeColor="accent4" w:themeTint="9A" w:themeShade="95"/>
      </w:rPr>
      <w:pPr>
        <w:pBdr/>
        <w:spacing/>
        <w:ind/>
      </w:pPr>
      <w:tblPr>
        <w:tblBorders/>
      </w:tblPr>
      <w:tcPr>
        <w:tcBorders/>
      </w:tcPr>
    </w:tblStylePr>
    <w:tblStylePr w:type="firstRow">
      <w:rPr>
        <w:b/>
        <w:color w:val="a07142" w:themeColor="accent4" w:themeTint="9A" w:themeShade="95"/>
      </w:rPr>
      <w:pPr>
        <w:pBdr/>
        <w:spacing/>
        <w:ind/>
      </w:pPr>
      <w:tblPr>
        <w:tblBorders/>
      </w:tblPr>
      <w:tcPr>
        <w:tcBorders>
          <w:bottom w:val="single" w:color="000000" w:themeColor="accent4" w:themeTint="9A" w:sz="12" w:space="0"/>
        </w:tcBorders>
      </w:tcPr>
    </w:tblStylePr>
    <w:tblStylePr w:type="lastCol">
      <w:rPr>
        <w:b/>
        <w:color w:val="a07142" w:themeColor="accent4" w:themeTint="9A" w:themeShade="95"/>
      </w:rPr>
      <w:pPr>
        <w:pBdr/>
        <w:spacing/>
        <w:ind/>
      </w:pPr>
      <w:tblPr>
        <w:tblBorders/>
      </w:tblPr>
      <w:tcPr>
        <w:tcBorders/>
      </w:tcPr>
    </w:tblStylePr>
    <w:tblStylePr w:type="lastRow">
      <w:rPr>
        <w:b/>
        <w:color w:val="a0714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2">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ce9e3" w:themeFill="accent5" w:themeFillTint="34"/>
        <w:tcBorders/>
      </w:tcPr>
    </w:tblStylePr>
    <w:tblStylePr w:type="band1Vert">
      <w:pPr>
        <w:pBdr/>
        <w:spacing/>
        <w:ind/>
      </w:pPr>
      <w:tblPr>
        <w:tblBorders/>
      </w:tblPr>
      <w:tcPr>
        <w:shd w:val="clear" w:color="ffffff" w:themeColor="accent5" w:themeTint="34" w:fill="ece9e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5841" w:themeColor="accent5" w:themeShade="95"/>
      </w:rPr>
      <w:pPr>
        <w:pBdr/>
        <w:spacing/>
        <w:ind/>
      </w:pPr>
      <w:tblPr>
        <w:tblBorders/>
      </w:tblPr>
      <w:tcPr>
        <w:tcBorders/>
      </w:tcPr>
    </w:tblStylePr>
    <w:tblStylePr w:type="firstRow">
      <w:rPr>
        <w:b/>
        <w:color w:val="615841" w:themeColor="accent5" w:themeShade="95"/>
      </w:rPr>
      <w:pPr>
        <w:pBdr/>
        <w:spacing/>
        <w:ind/>
      </w:pPr>
      <w:tblPr>
        <w:tblBorders/>
      </w:tblPr>
      <w:tcPr>
        <w:tcBorders>
          <w:bottom w:val="single" w:color="000000" w:themeColor="accent5" w:sz="12" w:space="0"/>
        </w:tcBorders>
      </w:tcPr>
    </w:tblStylePr>
    <w:tblStylePr w:type="lastCol">
      <w:rPr>
        <w:b/>
        <w:color w:val="615841" w:themeColor="accent5" w:themeShade="95"/>
      </w:rPr>
      <w:pPr>
        <w:pBdr/>
        <w:spacing/>
        <w:ind/>
      </w:pPr>
      <w:tblPr>
        <w:tblBorders/>
      </w:tblPr>
      <w:tcPr>
        <w:tcBorders/>
      </w:tcPr>
    </w:tblStylePr>
    <w:tblStylePr w:type="lastRow">
      <w:rPr>
        <w:b/>
        <w:color w:val="615841"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3">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5e3d1" w:themeFill="accent6" w:themeFillTint="34"/>
        <w:tcBorders/>
      </w:tcPr>
    </w:tblStylePr>
    <w:tblStylePr w:type="band1Vert">
      <w:pPr>
        <w:pBdr/>
        <w:spacing/>
        <w:ind/>
      </w:pPr>
      <w:tblPr>
        <w:tblBorders/>
      </w:tblPr>
      <w:tcPr>
        <w:shd w:val="clear" w:color="ffffff" w:themeColor="accent6" w:themeTint="34" w:fill="f5e3d1"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5841" w:themeColor="accent5" w:themeShade="95"/>
      </w:rPr>
      <w:pPr>
        <w:pBdr/>
        <w:spacing/>
        <w:ind/>
      </w:pPr>
      <w:tblPr>
        <w:tblBorders/>
      </w:tblPr>
      <w:tcPr>
        <w:tcBorders/>
      </w:tcPr>
    </w:tblStylePr>
    <w:tblStylePr w:type="firstRow">
      <w:rPr>
        <w:b/>
        <w:color w:val="615841" w:themeColor="accent5" w:themeShade="95"/>
      </w:rPr>
      <w:pPr>
        <w:pBdr/>
        <w:spacing/>
        <w:ind/>
      </w:pPr>
      <w:tblPr>
        <w:tblBorders/>
      </w:tblPr>
      <w:tcPr>
        <w:tcBorders>
          <w:bottom w:val="single" w:color="000000" w:themeColor="accent6" w:sz="12" w:space="0"/>
        </w:tcBorders>
      </w:tcPr>
    </w:tblStylePr>
    <w:tblStylePr w:type="lastCol">
      <w:rPr>
        <w:b/>
        <w:color w:val="615841" w:themeColor="accent5" w:themeShade="95"/>
      </w:rPr>
      <w:pPr>
        <w:pBdr/>
        <w:spacing/>
        <w:ind/>
      </w:pPr>
      <w:tblPr>
        <w:tblBorders/>
      </w:tblPr>
      <w:tcPr>
        <w:tcBorders/>
      </w:tcPr>
    </w:tblStylePr>
    <w:tblStylePr w:type="lastRow">
      <w:rPr>
        <w:b/>
        <w:color w:val="615841"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4">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d98810" w:themeColor="accent1" w:themeTint="80" w:themeShade="95"/>
        <w:sz w:val="22"/>
      </w:rPr>
      <w:pPr>
        <w:pBdr/>
        <w:spacing/>
        <w:ind/>
      </w:pPr>
      <w:tblPr>
        <w:tblBorders/>
      </w:tblPr>
      <w:tcPr>
        <w:shd w:val="clear" w:color="ffffff" w:themeColor="accent1" w:themeTint="34" w:fill="fcecd4" w:themeFill="accent1" w:themeFillTint="34"/>
        <w:tcBorders/>
      </w:tcPr>
    </w:tblStylePr>
    <w:tblStylePr w:type="band1Vert">
      <w:pPr>
        <w:pBdr/>
        <w:spacing/>
        <w:ind/>
      </w:pPr>
      <w:tblPr>
        <w:tblBorders/>
      </w:tblPr>
      <w:tcPr>
        <w:shd w:val="clear" w:color="ffffff" w:themeColor="accent1" w:themeTint="34" w:fill="fcecd4" w:themeFill="accent1" w:themeFillTint="34"/>
        <w:tcBorders/>
      </w:tcPr>
    </w:tblStylePr>
    <w:tblStylePr w:type="band2Horz">
      <w:rPr>
        <w:rFonts w:ascii="Arial" w:hAnsi="Arial"/>
        <w:color w:val="d9881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8810"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d98810"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d98810"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d98810"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8c5542" w:themeColor="accent2" w:themeTint="97" w:themeShade="95"/>
        <w:sz w:val="22"/>
      </w:rPr>
      <w:pPr>
        <w:pBdr/>
        <w:spacing/>
        <w:ind/>
      </w:pPr>
      <w:tblPr>
        <w:tblBorders/>
      </w:tblPr>
      <w:tcPr>
        <w:shd w:val="clear" w:color="ffffff" w:themeColor="accent2" w:themeTint="32" w:fill="eee0db" w:themeFill="accent2" w:themeFillTint="32"/>
        <w:tcBorders/>
      </w:tcPr>
    </w:tblStylePr>
    <w:tblStylePr w:type="band1Vert">
      <w:pPr>
        <w:pBdr/>
        <w:spacing/>
        <w:ind/>
      </w:pPr>
      <w:tblPr>
        <w:tblBorders/>
      </w:tblPr>
      <w:tcPr>
        <w:shd w:val="clear" w:color="ffffff" w:themeColor="accent2" w:themeTint="32" w:fill="eee0db" w:themeFill="accent2" w:themeFillTint="32"/>
        <w:tcBorders/>
      </w:tcPr>
    </w:tblStylePr>
    <w:tblStylePr w:type="band2Horz">
      <w:rPr>
        <w:rFonts w:ascii="Arial" w:hAnsi="Arial"/>
        <w:color w:val="8c554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c554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8c554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8c554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8c554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724d43" w:themeColor="accent3" w:themeTint="FE" w:themeShade="95"/>
        <w:sz w:val="22"/>
      </w:rPr>
      <w:pPr>
        <w:pBdr/>
        <w:spacing/>
        <w:ind/>
      </w:pPr>
      <w:tblPr>
        <w:tblBorders/>
      </w:tblPr>
      <w:tcPr>
        <w:shd w:val="clear" w:color="ffffff" w:themeColor="accent3" w:themeTint="34" w:fill="f0e7e5" w:themeFill="accent3" w:themeFillTint="34"/>
        <w:tcBorders/>
      </w:tcPr>
    </w:tblStylePr>
    <w:tblStylePr w:type="band1Vert">
      <w:pPr>
        <w:pBdr/>
        <w:spacing/>
        <w:ind/>
      </w:pPr>
      <w:tblPr>
        <w:tblBorders/>
      </w:tblPr>
      <w:tcPr>
        <w:shd w:val="clear" w:color="ffffff" w:themeColor="accent3" w:themeTint="34" w:fill="f0e7e5" w:themeFill="accent3" w:themeFillTint="34"/>
        <w:tcBorders/>
      </w:tcPr>
    </w:tblStylePr>
    <w:tblStylePr w:type="band2Horz">
      <w:rPr>
        <w:rFonts w:ascii="Arial" w:hAnsi="Arial"/>
        <w:color w:val="724d43"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24d43"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724d43"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724d43"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724d43"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a07142" w:themeColor="accent4" w:themeTint="9A" w:themeShade="95"/>
        <w:sz w:val="22"/>
      </w:rPr>
      <w:pPr>
        <w:pBdr/>
        <w:spacing/>
        <w:ind/>
      </w:pPr>
      <w:tblPr>
        <w:tblBorders/>
      </w:tblPr>
      <w:tcPr>
        <w:shd w:val="clear" w:color="ffffff" w:themeColor="accent4" w:themeTint="34" w:fill="f3eae1" w:themeFill="accent4" w:themeFillTint="34"/>
        <w:tcBorders/>
      </w:tcPr>
    </w:tblStylePr>
    <w:tblStylePr w:type="band1Vert">
      <w:pPr>
        <w:pBdr/>
        <w:spacing/>
        <w:ind/>
      </w:pPr>
      <w:tblPr>
        <w:tblBorders/>
      </w:tblPr>
      <w:tcPr>
        <w:shd w:val="clear" w:color="ffffff" w:themeColor="accent4" w:themeTint="34" w:fill="f3eae1" w:themeFill="accent4" w:themeFillTint="34"/>
        <w:tcBorders/>
      </w:tcPr>
    </w:tblStylePr>
    <w:tblStylePr w:type="band2Horz">
      <w:rPr>
        <w:rFonts w:ascii="Arial" w:hAnsi="Arial"/>
        <w:color w:val="a0714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714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a07142"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a0714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a07142"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615841" w:themeColor="accent5" w:themeShade="95"/>
        <w:sz w:val="22"/>
      </w:rPr>
      <w:pPr>
        <w:pBdr/>
        <w:spacing/>
        <w:ind/>
      </w:pPr>
      <w:tblPr>
        <w:tblBorders/>
      </w:tblPr>
      <w:tcPr>
        <w:shd w:val="clear" w:color="ffffff" w:themeColor="accent5" w:themeTint="34" w:fill="ece9e3" w:themeFill="accent5" w:themeFillTint="34"/>
        <w:tcBorders/>
      </w:tcPr>
    </w:tblStylePr>
    <w:tblStylePr w:type="band1Vert">
      <w:pPr>
        <w:pBdr/>
        <w:spacing/>
        <w:ind/>
      </w:pPr>
      <w:tblPr>
        <w:tblBorders/>
      </w:tblPr>
      <w:tcPr>
        <w:shd w:val="clear" w:color="ffffff" w:themeColor="accent5" w:themeTint="34" w:fill="ece9e3" w:themeFill="accent5" w:themeFillTint="34"/>
        <w:tcBorders/>
      </w:tcPr>
    </w:tblStylePr>
    <w:tblStylePr w:type="band2Horz">
      <w:rPr>
        <w:rFonts w:ascii="Arial" w:hAnsi="Arial"/>
        <w:color w:val="615841"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5841"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615841"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615841"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615841"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14418" w:themeColor="accent6" w:themeShade="95"/>
        <w:sz w:val="22"/>
      </w:rPr>
      <w:pPr>
        <w:pBdr/>
        <w:spacing/>
        <w:ind/>
      </w:pPr>
      <w:tblPr>
        <w:tblBorders/>
      </w:tblPr>
      <w:tcPr>
        <w:shd w:val="clear" w:color="ffffff" w:themeColor="accent6" w:themeTint="34" w:fill="f5e3d1" w:themeFill="accent6" w:themeFillTint="34"/>
        <w:tcBorders/>
      </w:tcPr>
    </w:tblStylePr>
    <w:tblStylePr w:type="band1Vert">
      <w:pPr>
        <w:pBdr/>
        <w:spacing/>
        <w:ind/>
      </w:pPr>
      <w:tblPr>
        <w:tblBorders/>
      </w:tblPr>
      <w:tcPr>
        <w:shd w:val="clear" w:color="ffffff" w:themeColor="accent6" w:themeTint="34" w:fill="f5e3d1" w:themeFill="accent6" w:themeFillTint="34"/>
        <w:tcBorders/>
      </w:tcPr>
    </w:tblStylePr>
    <w:tblStylePr w:type="band2Horz">
      <w:rPr>
        <w:rFonts w:ascii="Arial" w:hAnsi="Arial"/>
        <w:color w:val="71441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1441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1441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1441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1441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fbe8cb" w:themeFill="accent1" w:themeFillTint="40"/>
        <w:tcBorders/>
      </w:tcPr>
    </w:tblStylePr>
    <w:tblStylePr w:type="band1Vert">
      <w:pPr>
        <w:pBdr/>
        <w:spacing/>
        <w:ind/>
      </w:pPr>
      <w:tblPr>
        <w:tblBorders/>
      </w:tblPr>
      <w:tcPr>
        <w:shd w:val="clear" w:color="ffffff" w:themeColor="accent1" w:themeTint="40" w:fill="fbe8cb"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9d8d1" w:themeFill="accent2" w:themeFillTint="40"/>
        <w:tcBorders/>
      </w:tcPr>
    </w:tblStylePr>
    <w:tblStylePr w:type="band1Vert">
      <w:pPr>
        <w:pBdr/>
        <w:spacing/>
        <w:ind/>
      </w:pPr>
      <w:tblPr>
        <w:tblBorders/>
      </w:tblPr>
      <w:tcPr>
        <w:shd w:val="clear" w:color="ffffff" w:themeColor="accent2" w:themeTint="40" w:fill="e9d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ce2df" w:themeFill="accent3" w:themeFillTint="40"/>
        <w:tcBorders/>
      </w:tcPr>
    </w:tblStylePr>
    <w:tblStylePr w:type="band1Vert">
      <w:pPr>
        <w:pBdr/>
        <w:spacing/>
        <w:ind/>
      </w:pPr>
      <w:tblPr>
        <w:tblBorders/>
      </w:tblPr>
      <w:tcPr>
        <w:shd w:val="clear" w:color="ffffff" w:themeColor="accent3" w:themeTint="40" w:fill="ece2d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0e5da" w:themeFill="accent4" w:themeFillTint="40"/>
        <w:tcBorders/>
      </w:tcPr>
    </w:tblStylePr>
    <w:tblStylePr w:type="band1Vert">
      <w:pPr>
        <w:pBdr/>
        <w:spacing/>
        <w:ind/>
      </w:pPr>
      <w:tblPr>
        <w:tblBorders/>
      </w:tblPr>
      <w:tcPr>
        <w:shd w:val="clear" w:color="ffffff" w:themeColor="accent4" w:themeTint="40" w:fill="f0e5d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7e4dc" w:themeFill="accent5" w:themeFillTint="40"/>
        <w:tcBorders/>
      </w:tcPr>
    </w:tblStylePr>
    <w:tblStylePr w:type="band1Vert">
      <w:pPr>
        <w:pBdr/>
        <w:spacing/>
        <w:ind/>
      </w:pPr>
      <w:tblPr>
        <w:tblBorders/>
      </w:tblPr>
      <w:tcPr>
        <w:shd w:val="clear" w:color="ffffff" w:themeColor="accent5" w:themeTint="40" w:fill="e7e4d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3dcc6" w:themeFill="accent6" w:themeFillTint="40"/>
        <w:tcBorders/>
      </w:tcPr>
    </w:tblStylePr>
    <w:tblStylePr w:type="band1Vert">
      <w:pPr>
        <w:pBdr/>
        <w:spacing/>
        <w:ind/>
      </w:pPr>
      <w:tblPr>
        <w:tblBorders/>
      </w:tblPr>
      <w:tcPr>
        <w:shd w:val="clear" w:color="ffffff" w:themeColor="accent6" w:themeTint="40" w:fill="f3dcc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be8cb"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be8cb"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9d8d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9d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ce2df"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ce2d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0e5d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0e5d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7e4dc"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7e4d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3dcc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3dcc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f0a22e"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cca29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d3bab3"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dbc1a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c6bfa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2ad77"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be8cb"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be8cb"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f0a22e"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9d8d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9d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a5644e"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ce2df"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ce2d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b58b80"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0e5d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0e5d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c3986d"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7e4dc"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7e4d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1957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3dcc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3dcc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17529"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f0a22e" w:themeFill="accent1"/>
    </w:tblPr>
    <w:tcPr>
      <w:tcBorders/>
    </w:tcPr>
    <w:tblStylePr w:type="band1Horz">
      <w:pPr>
        <w:pBdr/>
        <w:spacing/>
        <w:ind/>
      </w:pPr>
      <w:tblPr>
        <w:tblBorders/>
      </w:tblPr>
      <w:tcPr>
        <w:shd w:val="clear" w:color="ffffff" w:themeColor="accent1" w:fill="f0a22e"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f0a22e"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f0a22e"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f0a22e"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cca294" w:themeFill="accent2" w:themeFillTint="97"/>
    </w:tblPr>
    <w:tcPr>
      <w:tcBorders/>
    </w:tcPr>
    <w:tblStylePr w:type="band1Horz">
      <w:pPr>
        <w:pBdr/>
        <w:spacing/>
        <w:ind/>
      </w:pPr>
      <w:tblPr>
        <w:tblBorders/>
      </w:tblPr>
      <w:tcPr>
        <w:shd w:val="clear" w:color="ffffff" w:themeColor="accent2" w:themeTint="97" w:fill="cca29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cca29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cca29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cca29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d3bab3" w:themeFill="accent3" w:themeFillTint="98"/>
    </w:tblPr>
    <w:tcPr>
      <w:tcBorders/>
    </w:tcPr>
    <w:tblStylePr w:type="band1Horz">
      <w:pPr>
        <w:pBdr/>
        <w:spacing/>
        <w:ind/>
      </w:pPr>
      <w:tblPr>
        <w:tblBorders/>
      </w:tblPr>
      <w:tcPr>
        <w:shd w:val="clear" w:color="ffffff" w:themeColor="accent3" w:themeTint="98" w:fill="d3bab3"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d3bab3"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d3bab3"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d3bab3"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dbc1a7" w:themeFill="accent4" w:themeFillTint="9A"/>
    </w:tblPr>
    <w:tcPr>
      <w:tcBorders/>
    </w:tcPr>
    <w:tblStylePr w:type="band1Horz">
      <w:pPr>
        <w:pBdr/>
        <w:spacing/>
        <w:ind/>
      </w:pPr>
      <w:tblPr>
        <w:tblBorders/>
      </w:tblPr>
      <w:tcPr>
        <w:shd w:val="clear" w:color="ffffff" w:themeColor="accent4" w:themeTint="9A" w:fill="dbc1a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dbc1a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dbc1a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dbc1a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c6bfab" w:themeFill="accent5" w:themeFillTint="9A"/>
    </w:tblPr>
    <w:tcPr>
      <w:tcBorders/>
    </w:tcPr>
    <w:tblStylePr w:type="band1Horz">
      <w:pPr>
        <w:pBdr/>
        <w:spacing/>
        <w:ind/>
      </w:pPr>
      <w:tblPr>
        <w:tblBorders/>
      </w:tblPr>
      <w:tcPr>
        <w:shd w:val="clear" w:color="ffffff" w:themeColor="accent5" w:themeTint="9A" w:fill="c6bfa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c6bfa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c6bfa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c6bfa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2ad77" w:themeFill="accent6" w:themeFillTint="98"/>
    </w:tblPr>
    <w:tcPr>
      <w:tcBorders/>
    </w:tcPr>
    <w:tblStylePr w:type="band1Horz">
      <w:pPr>
        <w:pBdr/>
        <w:spacing/>
        <w:ind/>
      </w:pPr>
      <w:tblPr>
        <w:tblBorders/>
      </w:tblPr>
      <w:tcPr>
        <w:shd w:val="clear" w:color="ffffff" w:themeColor="accent6" w:themeTint="98" w:fill="e2ad77"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2ad77"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2ad77"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2ad77"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fbe8cb" w:themeFill="accent1" w:themeFillTint="40"/>
        <w:tcBorders/>
      </w:tcPr>
    </w:tblStylePr>
    <w:tblStylePr w:type="band1Vert">
      <w:pPr>
        <w:pBdr/>
        <w:spacing/>
        <w:ind/>
      </w:pPr>
      <w:tblPr>
        <w:tblBorders/>
      </w:tblPr>
      <w:tcPr>
        <w:shd w:val="clear" w:color="ffffff" w:themeColor="accent1" w:themeTint="40" w:fill="fbe8cb"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620b" w:themeColor="accent1" w:themeShade="95"/>
      </w:rPr>
      <w:pPr>
        <w:pBdr/>
        <w:spacing/>
        <w:ind/>
      </w:pPr>
      <w:tblPr>
        <w:tblBorders/>
      </w:tblPr>
      <w:tcPr>
        <w:tcBorders/>
      </w:tcPr>
    </w:tblStylePr>
    <w:tblStylePr w:type="firstRow">
      <w:rPr>
        <w:b/>
        <w:color w:val="9c620b" w:themeColor="accent1" w:themeShade="95"/>
      </w:rPr>
      <w:pPr>
        <w:pBdr/>
        <w:spacing/>
        <w:ind/>
      </w:pPr>
      <w:tblPr>
        <w:tblBorders/>
      </w:tblPr>
      <w:tcPr>
        <w:tcBorders>
          <w:bottom w:val="single" w:color="000000" w:themeColor="accent1" w:sz="4" w:space="0"/>
        </w:tcBorders>
      </w:tcPr>
    </w:tblStylePr>
    <w:tblStylePr w:type="lastCol">
      <w:rPr>
        <w:b/>
        <w:color w:val="9c620b" w:themeColor="accent1" w:themeShade="95"/>
      </w:rPr>
      <w:pPr>
        <w:pBdr/>
        <w:spacing/>
        <w:ind/>
      </w:pPr>
      <w:tblPr>
        <w:tblBorders/>
      </w:tblPr>
      <w:tcPr>
        <w:tcBorders/>
      </w:tcPr>
    </w:tblStylePr>
    <w:tblStylePr w:type="lastRow">
      <w:rPr>
        <w:b/>
        <w:color w:val="9c620b"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9d8d1" w:themeFill="accent2" w:themeFillTint="40"/>
        <w:tcBorders/>
      </w:tcPr>
    </w:tblStylePr>
    <w:tblStylePr w:type="band1Vert">
      <w:pPr>
        <w:pBdr/>
        <w:spacing/>
        <w:ind/>
      </w:pPr>
      <w:tblPr>
        <w:tblBorders/>
      </w:tblPr>
      <w:tcPr>
        <w:shd w:val="clear" w:color="ffffff" w:themeColor="accent2" w:themeTint="40" w:fill="e9d8d1"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c5542" w:themeColor="accent2" w:themeTint="97" w:themeShade="95"/>
      </w:rPr>
      <w:pPr>
        <w:pBdr/>
        <w:spacing/>
        <w:ind/>
      </w:pPr>
      <w:tblPr>
        <w:tblBorders/>
      </w:tblPr>
      <w:tcPr>
        <w:tcBorders/>
      </w:tcPr>
    </w:tblStylePr>
    <w:tblStylePr w:type="firstRow">
      <w:rPr>
        <w:b/>
        <w:color w:val="8c5542" w:themeColor="accent2" w:themeTint="97" w:themeShade="95"/>
      </w:rPr>
      <w:pPr>
        <w:pBdr/>
        <w:spacing/>
        <w:ind/>
      </w:pPr>
      <w:tblPr>
        <w:tblBorders/>
      </w:tblPr>
      <w:tcPr>
        <w:tcBorders>
          <w:bottom w:val="single" w:color="000000" w:themeColor="accent2" w:themeTint="97" w:sz="4" w:space="0"/>
        </w:tcBorders>
      </w:tcPr>
    </w:tblStylePr>
    <w:tblStylePr w:type="lastCol">
      <w:rPr>
        <w:b/>
        <w:color w:val="8c5542" w:themeColor="accent2" w:themeTint="97" w:themeShade="95"/>
      </w:rPr>
      <w:pPr>
        <w:pBdr/>
        <w:spacing/>
        <w:ind/>
      </w:pPr>
      <w:tblPr>
        <w:tblBorders/>
      </w:tblPr>
      <w:tcPr>
        <w:tcBorders/>
      </w:tcPr>
    </w:tblStylePr>
    <w:tblStylePr w:type="lastRow">
      <w:rPr>
        <w:b/>
        <w:color w:val="8c554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ce2df" w:themeFill="accent3" w:themeFillTint="40"/>
        <w:tcBorders/>
      </w:tcPr>
    </w:tblStylePr>
    <w:tblStylePr w:type="band1Vert">
      <w:pPr>
        <w:pBdr/>
        <w:spacing/>
        <w:ind/>
      </w:pPr>
      <w:tblPr>
        <w:tblBorders/>
      </w:tblPr>
      <w:tcPr>
        <w:shd w:val="clear" w:color="ffffff" w:themeColor="accent3" w:themeTint="40" w:fill="ece2df"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06054" w:themeColor="accent3" w:themeTint="98" w:themeShade="95"/>
      </w:rPr>
      <w:pPr>
        <w:pBdr/>
        <w:spacing/>
        <w:ind/>
      </w:pPr>
      <w:tblPr>
        <w:tblBorders/>
      </w:tblPr>
      <w:tcPr>
        <w:tcBorders/>
      </w:tcPr>
    </w:tblStylePr>
    <w:tblStylePr w:type="firstRow">
      <w:rPr>
        <w:b/>
        <w:color w:val="906054" w:themeColor="accent3" w:themeTint="98" w:themeShade="95"/>
      </w:rPr>
      <w:pPr>
        <w:pBdr/>
        <w:spacing/>
        <w:ind/>
      </w:pPr>
      <w:tblPr>
        <w:tblBorders/>
      </w:tblPr>
      <w:tcPr>
        <w:tcBorders>
          <w:bottom w:val="single" w:color="000000" w:themeColor="accent3" w:themeTint="98" w:sz="4" w:space="0"/>
        </w:tcBorders>
      </w:tcPr>
    </w:tblStylePr>
    <w:tblStylePr w:type="lastCol">
      <w:rPr>
        <w:b/>
        <w:color w:val="906054" w:themeColor="accent3" w:themeTint="98" w:themeShade="95"/>
      </w:rPr>
      <w:pPr>
        <w:pBdr/>
        <w:spacing/>
        <w:ind/>
      </w:pPr>
      <w:tblPr>
        <w:tblBorders/>
      </w:tblPr>
      <w:tcPr>
        <w:tcBorders/>
      </w:tcPr>
    </w:tblStylePr>
    <w:tblStylePr w:type="lastRow">
      <w:rPr>
        <w:b/>
        <w:color w:val="906054"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0e5da" w:themeFill="accent4" w:themeFillTint="40"/>
        <w:tcBorders/>
      </w:tcPr>
    </w:tblStylePr>
    <w:tblStylePr w:type="band1Vert">
      <w:pPr>
        <w:pBdr/>
        <w:spacing/>
        <w:ind/>
      </w:pPr>
      <w:tblPr>
        <w:tblBorders/>
      </w:tblPr>
      <w:tcPr>
        <w:shd w:val="clear" w:color="ffffff" w:themeColor="accent4" w:themeTint="40" w:fill="f0e5d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7142" w:themeColor="accent4" w:themeTint="9A" w:themeShade="95"/>
      </w:rPr>
      <w:pPr>
        <w:pBdr/>
        <w:spacing/>
        <w:ind/>
      </w:pPr>
      <w:tblPr>
        <w:tblBorders/>
      </w:tblPr>
      <w:tcPr>
        <w:tcBorders/>
      </w:tcPr>
    </w:tblStylePr>
    <w:tblStylePr w:type="firstRow">
      <w:rPr>
        <w:b/>
        <w:color w:val="a07142" w:themeColor="accent4" w:themeTint="9A" w:themeShade="95"/>
      </w:rPr>
      <w:pPr>
        <w:pBdr/>
        <w:spacing/>
        <w:ind/>
      </w:pPr>
      <w:tblPr>
        <w:tblBorders/>
      </w:tblPr>
      <w:tcPr>
        <w:tcBorders>
          <w:bottom w:val="single" w:color="000000" w:themeColor="accent4" w:themeTint="9A" w:sz="4" w:space="0"/>
        </w:tcBorders>
      </w:tcPr>
    </w:tblStylePr>
    <w:tblStylePr w:type="lastCol">
      <w:rPr>
        <w:b/>
        <w:color w:val="a07142" w:themeColor="accent4" w:themeTint="9A" w:themeShade="95"/>
      </w:rPr>
      <w:pPr>
        <w:pBdr/>
        <w:spacing/>
        <w:ind/>
      </w:pPr>
      <w:tblPr>
        <w:tblBorders/>
      </w:tblPr>
      <w:tcPr>
        <w:tcBorders/>
      </w:tcPr>
    </w:tblStylePr>
    <w:tblStylePr w:type="lastRow">
      <w:rPr>
        <w:b/>
        <w:color w:val="a0714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7e4dc" w:themeFill="accent5" w:themeFillTint="40"/>
        <w:tcBorders/>
      </w:tcPr>
    </w:tblStylePr>
    <w:tblStylePr w:type="band1Vert">
      <w:pPr>
        <w:pBdr/>
        <w:spacing/>
        <w:ind/>
      </w:pPr>
      <w:tblPr>
        <w:tblBorders/>
      </w:tblPr>
      <w:tcPr>
        <w:shd w:val="clear" w:color="ffffff" w:themeColor="accent5" w:themeTint="40" w:fill="e7e4dc"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7657" w:themeColor="accent5" w:themeTint="9A" w:themeShade="95"/>
      </w:rPr>
      <w:pPr>
        <w:pBdr/>
        <w:spacing/>
        <w:ind/>
      </w:pPr>
      <w:tblPr>
        <w:tblBorders/>
      </w:tblPr>
      <w:tcPr>
        <w:tcBorders/>
      </w:tcPr>
    </w:tblStylePr>
    <w:tblStylePr w:type="firstRow">
      <w:rPr>
        <w:b/>
        <w:color w:val="817657" w:themeColor="accent5" w:themeTint="9A" w:themeShade="95"/>
      </w:rPr>
      <w:pPr>
        <w:pBdr/>
        <w:spacing/>
        <w:ind/>
      </w:pPr>
      <w:tblPr>
        <w:tblBorders/>
      </w:tblPr>
      <w:tcPr>
        <w:tcBorders>
          <w:bottom w:val="single" w:color="000000" w:themeColor="accent5" w:themeTint="9A" w:sz="4" w:space="0"/>
        </w:tcBorders>
      </w:tcPr>
    </w:tblStylePr>
    <w:tblStylePr w:type="lastCol">
      <w:rPr>
        <w:b/>
        <w:color w:val="817657" w:themeColor="accent5" w:themeTint="9A" w:themeShade="95"/>
      </w:rPr>
      <w:pPr>
        <w:pBdr/>
        <w:spacing/>
        <w:ind/>
      </w:pPr>
      <w:tblPr>
        <w:tblBorders/>
      </w:tblPr>
      <w:tcPr>
        <w:tcBorders/>
      </w:tcPr>
    </w:tblStylePr>
    <w:tblStylePr w:type="lastRow">
      <w:rPr>
        <w:b/>
        <w:color w:val="817657"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3dcc6" w:themeFill="accent6" w:themeFillTint="40"/>
        <w:tcBorders/>
      </w:tcPr>
    </w:tblStylePr>
    <w:tblStylePr w:type="band1Vert">
      <w:pPr>
        <w:pBdr/>
        <w:spacing/>
        <w:ind/>
      </w:pPr>
      <w:tblPr>
        <w:tblBorders/>
      </w:tblPr>
      <w:tcPr>
        <w:shd w:val="clear" w:color="ffffff" w:themeColor="accent6" w:themeTint="40" w:fill="f3dcc6"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6523" w:themeColor="accent6" w:themeTint="98" w:themeShade="95"/>
      </w:rPr>
      <w:pPr>
        <w:pBdr/>
        <w:spacing/>
        <w:ind/>
      </w:pPr>
      <w:tblPr>
        <w:tblBorders/>
      </w:tblPr>
      <w:tcPr>
        <w:tcBorders/>
      </w:tcPr>
    </w:tblStylePr>
    <w:tblStylePr w:type="firstRow">
      <w:rPr>
        <w:b/>
        <w:color w:val="a66523" w:themeColor="accent6" w:themeTint="98" w:themeShade="95"/>
      </w:rPr>
      <w:pPr>
        <w:pBdr/>
        <w:spacing/>
        <w:ind/>
      </w:pPr>
      <w:tblPr>
        <w:tblBorders/>
      </w:tblPr>
      <w:tcPr>
        <w:tcBorders>
          <w:bottom w:val="single" w:color="000000" w:themeColor="accent6" w:themeTint="98" w:sz="4" w:space="0"/>
        </w:tcBorders>
      </w:tcPr>
    </w:tblStylePr>
    <w:tblStylePr w:type="lastCol">
      <w:rPr>
        <w:b/>
        <w:color w:val="a66523" w:themeColor="accent6" w:themeTint="98" w:themeShade="95"/>
      </w:rPr>
      <w:pPr>
        <w:pBdr/>
        <w:spacing/>
        <w:ind/>
      </w:pPr>
      <w:tblPr>
        <w:tblBorders/>
      </w:tblPr>
      <w:tcPr>
        <w:tcBorders/>
      </w:tcPr>
    </w:tblStylePr>
    <w:tblStylePr w:type="lastRow">
      <w:rPr>
        <w:b/>
        <w:color w:val="a66523"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4">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9c620b" w:themeColor="accent1" w:themeShade="95"/>
        <w:sz w:val="22"/>
      </w:rPr>
      <w:pPr>
        <w:pBdr/>
        <w:spacing/>
        <w:ind/>
      </w:pPr>
      <w:tblPr>
        <w:tblBorders/>
      </w:tblPr>
      <w:tcPr>
        <w:shd w:val="clear" w:color="ffffff" w:themeColor="accent1" w:themeTint="40" w:fill="fbe8cb" w:themeFill="accent1" w:themeFillTint="40"/>
        <w:tcBorders/>
      </w:tcPr>
    </w:tblStylePr>
    <w:tblStylePr w:type="band1Vert">
      <w:pPr>
        <w:pBdr/>
        <w:spacing/>
        <w:ind/>
      </w:pPr>
      <w:tblPr>
        <w:tblBorders/>
      </w:tblPr>
      <w:tcPr>
        <w:shd w:val="clear" w:color="ffffff" w:themeColor="accent1" w:themeTint="40" w:fill="fbe8cb" w:themeFill="accent1" w:themeFillTint="40"/>
        <w:tcBorders/>
      </w:tcPr>
    </w:tblStylePr>
    <w:tblStylePr w:type="band2Horz">
      <w:rPr>
        <w:rFonts w:ascii="Arial" w:hAnsi="Arial"/>
        <w:color w:val="9c620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620b"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9c620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9c620b"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9c620b"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620b" w:themeColor="accent1" w:themeShade="95"/>
        <w:sz w:val="22"/>
      </w:rPr>
      <w:pPr>
        <w:pBdr/>
        <w:spacing/>
        <w:ind/>
      </w:pPr>
      <w:tblPr>
        <w:tblBorders/>
      </w:tblPr>
      <w:tcPr>
        <w:tcBorders/>
      </w:tcPr>
    </w:tblStylePr>
  </w:style>
  <w:style w:type="table" w:styleId="835">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8c5542" w:themeColor="accent2" w:themeTint="97" w:themeShade="95"/>
        <w:sz w:val="22"/>
      </w:rPr>
      <w:pPr>
        <w:pBdr/>
        <w:spacing/>
        <w:ind/>
      </w:pPr>
      <w:tblPr>
        <w:tblBorders/>
      </w:tblPr>
      <w:tcPr>
        <w:shd w:val="clear" w:color="ffffff" w:themeColor="accent2" w:themeTint="40" w:fill="e9d8d1" w:themeFill="accent2" w:themeFillTint="40"/>
        <w:tcBorders/>
      </w:tcPr>
    </w:tblStylePr>
    <w:tblStylePr w:type="band1Vert">
      <w:pPr>
        <w:pBdr/>
        <w:spacing/>
        <w:ind/>
      </w:pPr>
      <w:tblPr>
        <w:tblBorders/>
      </w:tblPr>
      <w:tcPr>
        <w:shd w:val="clear" w:color="ffffff" w:themeColor="accent2" w:themeTint="40" w:fill="e9d8d1" w:themeFill="accent2" w:themeFillTint="40"/>
        <w:tcBorders/>
      </w:tcPr>
    </w:tblStylePr>
    <w:tblStylePr w:type="band2Horz">
      <w:rPr>
        <w:rFonts w:ascii="Arial" w:hAnsi="Arial"/>
        <w:color w:val="8c554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c554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8c554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8c554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8c554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c5542" w:themeColor="accent2" w:themeTint="97" w:themeShade="95"/>
        <w:sz w:val="22"/>
      </w:rPr>
      <w:pPr>
        <w:pBdr/>
        <w:spacing/>
        <w:ind/>
      </w:pPr>
      <w:tblPr>
        <w:tblBorders/>
      </w:tblPr>
      <w:tcPr>
        <w:tcBorders/>
      </w:tcPr>
    </w:tblStylePr>
  </w:style>
  <w:style w:type="table" w:styleId="836">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906054" w:themeColor="accent3" w:themeTint="98" w:themeShade="95"/>
        <w:sz w:val="22"/>
      </w:rPr>
      <w:pPr>
        <w:pBdr/>
        <w:spacing/>
        <w:ind/>
      </w:pPr>
      <w:tblPr>
        <w:tblBorders/>
      </w:tblPr>
      <w:tcPr>
        <w:shd w:val="clear" w:color="ffffff" w:themeColor="accent3" w:themeTint="40" w:fill="ece2df" w:themeFill="accent3" w:themeFillTint="40"/>
        <w:tcBorders/>
      </w:tcPr>
    </w:tblStylePr>
    <w:tblStylePr w:type="band1Vert">
      <w:pPr>
        <w:pBdr/>
        <w:spacing/>
        <w:ind/>
      </w:pPr>
      <w:tblPr>
        <w:tblBorders/>
      </w:tblPr>
      <w:tcPr>
        <w:shd w:val="clear" w:color="ffffff" w:themeColor="accent3" w:themeTint="40" w:fill="ece2df" w:themeFill="accent3" w:themeFillTint="40"/>
        <w:tcBorders/>
      </w:tcPr>
    </w:tblStylePr>
    <w:tblStylePr w:type="band2Horz">
      <w:rPr>
        <w:rFonts w:ascii="Arial" w:hAnsi="Arial"/>
        <w:color w:val="906054"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06054"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906054"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906054"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906054"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06054" w:themeColor="accent3" w:themeTint="98" w:themeShade="95"/>
        <w:sz w:val="22"/>
      </w:rPr>
      <w:pPr>
        <w:pBdr/>
        <w:spacing/>
        <w:ind/>
      </w:pPr>
      <w:tblPr>
        <w:tblBorders/>
      </w:tblPr>
      <w:tcPr>
        <w:tcBorders/>
      </w:tcPr>
    </w:tblStylePr>
  </w:style>
  <w:style w:type="table" w:styleId="837">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a07142" w:themeColor="accent4" w:themeTint="9A" w:themeShade="95"/>
        <w:sz w:val="22"/>
      </w:rPr>
      <w:pPr>
        <w:pBdr/>
        <w:spacing/>
        <w:ind/>
      </w:pPr>
      <w:tblPr>
        <w:tblBorders/>
      </w:tblPr>
      <w:tcPr>
        <w:shd w:val="clear" w:color="ffffff" w:themeColor="accent4" w:themeTint="40" w:fill="f0e5da" w:themeFill="accent4" w:themeFillTint="40"/>
        <w:tcBorders/>
      </w:tcPr>
    </w:tblStylePr>
    <w:tblStylePr w:type="band1Vert">
      <w:pPr>
        <w:pBdr/>
        <w:spacing/>
        <w:ind/>
      </w:pPr>
      <w:tblPr>
        <w:tblBorders/>
      </w:tblPr>
      <w:tcPr>
        <w:shd w:val="clear" w:color="ffffff" w:themeColor="accent4" w:themeTint="40" w:fill="f0e5da" w:themeFill="accent4" w:themeFillTint="40"/>
        <w:tcBorders/>
      </w:tcPr>
    </w:tblStylePr>
    <w:tblStylePr w:type="band2Horz">
      <w:rPr>
        <w:rFonts w:ascii="Arial" w:hAnsi="Arial"/>
        <w:color w:val="a0714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714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a07142"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a0714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a07142"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07142" w:themeColor="accent4" w:themeTint="9A" w:themeShade="95"/>
        <w:sz w:val="22"/>
      </w:rPr>
      <w:pPr>
        <w:pBdr/>
        <w:spacing/>
        <w:ind/>
      </w:pPr>
      <w:tblPr>
        <w:tblBorders/>
      </w:tblPr>
      <w:tcPr>
        <w:tcBorders/>
      </w:tcPr>
    </w:tblStylePr>
  </w:style>
  <w:style w:type="table" w:styleId="838">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817657" w:themeColor="accent5" w:themeTint="9A" w:themeShade="95"/>
        <w:sz w:val="22"/>
      </w:rPr>
      <w:pPr>
        <w:pBdr/>
        <w:spacing/>
        <w:ind/>
      </w:pPr>
      <w:tblPr>
        <w:tblBorders/>
      </w:tblPr>
      <w:tcPr>
        <w:shd w:val="clear" w:color="ffffff" w:themeColor="accent5" w:themeTint="40" w:fill="e7e4dc" w:themeFill="accent5" w:themeFillTint="40"/>
        <w:tcBorders/>
      </w:tcPr>
    </w:tblStylePr>
    <w:tblStylePr w:type="band1Vert">
      <w:pPr>
        <w:pBdr/>
        <w:spacing/>
        <w:ind/>
      </w:pPr>
      <w:tblPr>
        <w:tblBorders/>
      </w:tblPr>
      <w:tcPr>
        <w:shd w:val="clear" w:color="ffffff" w:themeColor="accent5" w:themeTint="40" w:fill="e7e4dc" w:themeFill="accent5" w:themeFillTint="40"/>
        <w:tcBorders/>
      </w:tcPr>
    </w:tblStylePr>
    <w:tblStylePr w:type="band2Horz">
      <w:rPr>
        <w:rFonts w:ascii="Arial" w:hAnsi="Arial"/>
        <w:color w:val="817657"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7657"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817657"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817657"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817657"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17657" w:themeColor="accent5" w:themeTint="9A" w:themeShade="95"/>
        <w:sz w:val="22"/>
      </w:rPr>
      <w:pPr>
        <w:pBdr/>
        <w:spacing/>
        <w:ind/>
      </w:pPr>
      <w:tblPr>
        <w:tblBorders/>
      </w:tblPr>
      <w:tcPr>
        <w:tcBorders/>
      </w:tcPr>
    </w:tblStylePr>
  </w:style>
  <w:style w:type="table" w:styleId="839">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66523" w:themeColor="accent6" w:themeTint="98" w:themeShade="95"/>
        <w:sz w:val="22"/>
      </w:rPr>
      <w:pPr>
        <w:pBdr/>
        <w:spacing/>
        <w:ind/>
      </w:pPr>
      <w:tblPr>
        <w:tblBorders/>
      </w:tblPr>
      <w:tcPr>
        <w:shd w:val="clear" w:color="ffffff" w:themeColor="accent6" w:themeTint="40" w:fill="f3dcc6" w:themeFill="accent6" w:themeFillTint="40"/>
        <w:tcBorders/>
      </w:tcPr>
    </w:tblStylePr>
    <w:tblStylePr w:type="band1Vert">
      <w:pPr>
        <w:pBdr/>
        <w:spacing/>
        <w:ind/>
      </w:pPr>
      <w:tblPr>
        <w:tblBorders/>
      </w:tblPr>
      <w:tcPr>
        <w:shd w:val="clear" w:color="ffffff" w:themeColor="accent6" w:themeTint="40" w:fill="f3dcc6" w:themeFill="accent6" w:themeFillTint="40"/>
        <w:tcBorders/>
      </w:tcPr>
    </w:tblStylePr>
    <w:tblStylePr w:type="band2Horz">
      <w:rPr>
        <w:rFonts w:ascii="Arial" w:hAnsi="Arial"/>
        <w:color w:val="a6652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6523"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6652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66523"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66523"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66523" w:themeColor="accent6" w:themeTint="98" w:themeShade="95"/>
        <w:sz w:val="22"/>
      </w:rPr>
      <w:pPr>
        <w:pBdr/>
        <w:spacing/>
        <w:ind/>
      </w:pPr>
      <w:tblPr>
        <w:tblBorders/>
      </w:tblPr>
      <w:tcPr>
        <w:tcBorders/>
      </w:tcPr>
    </w:tblStylePr>
  </w:style>
  <w:style w:type="table" w:styleId="840">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ae2b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ae2b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firstCol">
      <w:rPr>
        <w:rFonts w:ascii="Arial" w:hAnsi="Arial"/>
        <w:color w:val="f2f2f2"/>
        <w:sz w:val="22"/>
      </w:rPr>
      <w:pPr>
        <w:pBdr/>
        <w:spacing/>
        <w:ind/>
      </w:pPr>
      <w:tblPr>
        <w:tblBorders/>
      </w:tblPr>
      <w:tcPr>
        <w:shd w:val="clear" w:color="ffffff" w:themeColor="accent5" w:fill="a19574" w:themeFill="accent5"/>
        <w:tcBorders/>
      </w:tcPr>
    </w:tblStylePr>
    <w:tblStylePr w:type="firstRow">
      <w:rPr>
        <w:rFonts w:ascii="Arial" w:hAnsi="Arial"/>
        <w:color w:val="f2f2f2"/>
        <w:sz w:val="22"/>
      </w:rPr>
      <w:pPr>
        <w:pBdr/>
        <w:spacing/>
        <w:ind/>
      </w:pPr>
      <w:tblPr>
        <w:tblBorders/>
      </w:tblPr>
      <w:tcPr>
        <w:shd w:val="clear" w:color="ffffff" w:themeColor="accent5" w:fill="a19574" w:themeFill="accent5"/>
        <w:tcBorders/>
      </w:tcPr>
    </w:tblStylePr>
    <w:tblStylePr w:type="lastCol">
      <w:rPr>
        <w:rFonts w:ascii="Arial" w:hAnsi="Arial"/>
        <w:color w:val="f2f2f2"/>
        <w:sz w:val="22"/>
      </w:rPr>
      <w:pPr>
        <w:pBdr/>
        <w:spacing/>
        <w:ind/>
      </w:pPr>
      <w:tblPr>
        <w:tblBorders/>
      </w:tblPr>
      <w:tcPr>
        <w:shd w:val="clear" w:color="ffffff" w:themeColor="accent5" w:fill="a19574" w:themeFill="accent5"/>
        <w:tcBorders/>
      </w:tcPr>
    </w:tblStylePr>
    <w:tblStylePr w:type="lastRow">
      <w:rPr>
        <w:rFonts w:ascii="Arial" w:hAnsi="Arial"/>
        <w:color w:val="f2f2f2"/>
        <w:sz w:val="22"/>
      </w:rPr>
      <w:pPr>
        <w:pBdr/>
        <w:spacing/>
        <w:ind/>
      </w:pPr>
      <w:tblPr>
        <w:tblBorders/>
      </w:tblPr>
      <w:tcPr>
        <w:shd w:val="clear" w:color="ffffff" w:themeColor="accent5" w:fill="a1957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firstCol">
      <w:rPr>
        <w:rFonts w:ascii="Arial" w:hAnsi="Arial"/>
        <w:color w:val="f2f2f2"/>
        <w:sz w:val="22"/>
      </w:rPr>
      <w:pPr>
        <w:pBdr/>
        <w:spacing/>
        <w:ind/>
      </w:pPr>
      <w:tblPr>
        <w:tblBorders/>
      </w:tblPr>
      <w:tcPr>
        <w:shd w:val="clear" w:color="ffffff" w:themeColor="accent6" w:fill="c17529" w:themeFill="accent6"/>
        <w:tcBorders/>
      </w:tcPr>
    </w:tblStylePr>
    <w:tblStylePr w:type="firstRow">
      <w:rPr>
        <w:rFonts w:ascii="Arial" w:hAnsi="Arial"/>
        <w:color w:val="f2f2f2"/>
        <w:sz w:val="22"/>
      </w:rPr>
      <w:pPr>
        <w:pBdr/>
        <w:spacing/>
        <w:ind/>
      </w:pPr>
      <w:tblPr>
        <w:tblBorders/>
      </w:tblPr>
      <w:tcPr>
        <w:shd w:val="clear" w:color="ffffff" w:themeColor="accent6" w:fill="c17529" w:themeFill="accent6"/>
        <w:tcBorders/>
      </w:tcPr>
    </w:tblStylePr>
    <w:tblStylePr w:type="lastCol">
      <w:rPr>
        <w:rFonts w:ascii="Arial" w:hAnsi="Arial"/>
        <w:color w:val="f2f2f2"/>
        <w:sz w:val="22"/>
      </w:rPr>
      <w:pPr>
        <w:pBdr/>
        <w:spacing/>
        <w:ind/>
      </w:pPr>
      <w:tblPr>
        <w:tblBorders/>
      </w:tblPr>
      <w:tcPr>
        <w:shd w:val="clear" w:color="ffffff" w:themeColor="accent6" w:fill="c17529" w:themeFill="accent6"/>
        <w:tcBorders/>
      </w:tcPr>
    </w:tblStylePr>
    <w:tblStylePr w:type="lastRow">
      <w:rPr>
        <w:rFonts w:ascii="Arial" w:hAnsi="Arial"/>
        <w:color w:val="f2f2f2"/>
        <w:sz w:val="22"/>
      </w:rPr>
      <w:pPr>
        <w:pBdr/>
        <w:spacing/>
        <w:ind/>
      </w:pPr>
      <w:tblPr>
        <w:tblBorders/>
      </w:tblPr>
      <w:tcPr>
        <w:shd w:val="clear" w:color="ffffff" w:themeColor="accent6" w:fill="c17529"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ae2b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ae2b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firstCol">
      <w:rPr>
        <w:rFonts w:ascii="Arial" w:hAnsi="Arial"/>
        <w:color w:val="f2f2f2"/>
        <w:sz w:val="22"/>
      </w:rPr>
      <w:pPr>
        <w:pBdr/>
        <w:spacing/>
        <w:ind/>
      </w:pPr>
      <w:tblPr>
        <w:tblBorders/>
      </w:tblPr>
      <w:tcPr>
        <w:shd w:val="clear" w:color="ffffff" w:themeColor="accent5" w:fill="a19574" w:themeFill="accent5"/>
        <w:tcBorders/>
      </w:tcPr>
    </w:tblStylePr>
    <w:tblStylePr w:type="firstRow">
      <w:rPr>
        <w:rFonts w:ascii="Arial" w:hAnsi="Arial"/>
        <w:color w:val="f2f2f2"/>
        <w:sz w:val="22"/>
      </w:rPr>
      <w:pPr>
        <w:pBdr/>
        <w:spacing/>
        <w:ind/>
      </w:pPr>
      <w:tblPr>
        <w:tblBorders/>
      </w:tblPr>
      <w:tcPr>
        <w:shd w:val="clear" w:color="ffffff" w:themeColor="accent5" w:fill="a19574" w:themeFill="accent5"/>
        <w:tcBorders/>
      </w:tcPr>
    </w:tblStylePr>
    <w:tblStylePr w:type="lastCol">
      <w:rPr>
        <w:rFonts w:ascii="Arial" w:hAnsi="Arial"/>
        <w:color w:val="f2f2f2"/>
        <w:sz w:val="22"/>
      </w:rPr>
      <w:pPr>
        <w:pBdr/>
        <w:spacing/>
        <w:ind/>
      </w:pPr>
      <w:tblPr>
        <w:tblBorders/>
      </w:tblPr>
      <w:tcPr>
        <w:shd w:val="clear" w:color="ffffff" w:themeColor="accent5" w:fill="a19574" w:themeFill="accent5"/>
        <w:tcBorders/>
      </w:tcPr>
    </w:tblStylePr>
    <w:tblStylePr w:type="lastRow">
      <w:rPr>
        <w:rFonts w:ascii="Arial" w:hAnsi="Arial"/>
        <w:color w:val="f2f2f2"/>
        <w:sz w:val="22"/>
      </w:rPr>
      <w:pPr>
        <w:pBdr/>
        <w:spacing/>
        <w:ind/>
      </w:pPr>
      <w:tblPr>
        <w:tblBorders/>
      </w:tblPr>
      <w:tcPr>
        <w:shd w:val="clear" w:color="ffffff" w:themeColor="accent5" w:fill="a1957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firstCol">
      <w:rPr>
        <w:rFonts w:ascii="Arial" w:hAnsi="Arial"/>
        <w:color w:val="f2f2f2"/>
        <w:sz w:val="22"/>
      </w:rPr>
      <w:pPr>
        <w:pBdr/>
        <w:spacing/>
        <w:ind/>
      </w:pPr>
      <w:tblPr>
        <w:tblBorders/>
      </w:tblPr>
      <w:tcPr>
        <w:shd w:val="clear" w:color="ffffff" w:themeColor="accent6" w:fill="c17529" w:themeFill="accent6"/>
        <w:tcBorders/>
      </w:tcPr>
    </w:tblStylePr>
    <w:tblStylePr w:type="firstRow">
      <w:rPr>
        <w:rFonts w:ascii="Arial" w:hAnsi="Arial"/>
        <w:color w:val="f2f2f2"/>
        <w:sz w:val="22"/>
      </w:rPr>
      <w:pPr>
        <w:pBdr/>
        <w:spacing/>
        <w:ind/>
      </w:pPr>
      <w:tblPr>
        <w:tblBorders/>
      </w:tblPr>
      <w:tcPr>
        <w:shd w:val="clear" w:color="ffffff" w:themeColor="accent6" w:fill="c17529" w:themeFill="accent6"/>
        <w:tcBorders/>
      </w:tcPr>
    </w:tblStylePr>
    <w:tblStylePr w:type="lastCol">
      <w:rPr>
        <w:rFonts w:ascii="Arial" w:hAnsi="Arial"/>
        <w:color w:val="f2f2f2"/>
        <w:sz w:val="22"/>
      </w:rPr>
      <w:pPr>
        <w:pBdr/>
        <w:spacing/>
        <w:ind/>
      </w:pPr>
      <w:tblPr>
        <w:tblBorders/>
      </w:tblPr>
      <w:tcPr>
        <w:shd w:val="clear" w:color="ffffff" w:themeColor="accent6" w:fill="c17529" w:themeFill="accent6"/>
        <w:tcBorders/>
      </w:tcPr>
    </w:tblStylePr>
    <w:tblStylePr w:type="lastRow">
      <w:rPr>
        <w:rFonts w:ascii="Arial" w:hAnsi="Arial"/>
        <w:color w:val="f2f2f2"/>
        <w:sz w:val="22"/>
      </w:rPr>
      <w:pPr>
        <w:pBdr/>
        <w:spacing/>
        <w:ind/>
      </w:pPr>
      <w:tblPr>
        <w:tblBorders/>
      </w:tblPr>
      <w:tcPr>
        <w:shd w:val="clear" w:color="ffffff" w:themeColor="accent6" w:fill="c17529"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1">
    <w:name w:val="footnote text"/>
    <w:basedOn w:val="880"/>
    <w:link w:val="862"/>
    <w:uiPriority w:val="99"/>
    <w:semiHidden/>
    <w:unhideWhenUsed/>
    <w:pPr>
      <w:pBdr/>
      <w:spacing w:after="0" w:line="240" w:lineRule="auto"/>
      <w:ind/>
    </w:pPr>
    <w:rPr>
      <w:sz w:val="20"/>
      <w:szCs w:val="20"/>
    </w:rPr>
  </w:style>
  <w:style w:type="character" w:styleId="862">
    <w:name w:val="Footnote Text Char"/>
    <w:basedOn w:val="894"/>
    <w:link w:val="861"/>
    <w:uiPriority w:val="99"/>
    <w:semiHidden/>
    <w:pPr>
      <w:pBdr/>
      <w:spacing/>
      <w:ind/>
    </w:pPr>
    <w:rPr>
      <w:sz w:val="20"/>
      <w:szCs w:val="20"/>
    </w:rPr>
  </w:style>
  <w:style w:type="character" w:styleId="863">
    <w:name w:val="footnote reference"/>
    <w:basedOn w:val="894"/>
    <w:uiPriority w:val="99"/>
    <w:semiHidden/>
    <w:unhideWhenUsed/>
    <w:pPr>
      <w:pBdr/>
      <w:spacing/>
      <w:ind/>
    </w:pPr>
    <w:rPr>
      <w:vertAlign w:val="superscript"/>
    </w:rPr>
  </w:style>
  <w:style w:type="paragraph" w:styleId="864">
    <w:name w:val="endnote text"/>
    <w:basedOn w:val="880"/>
    <w:link w:val="865"/>
    <w:uiPriority w:val="99"/>
    <w:semiHidden/>
    <w:unhideWhenUsed/>
    <w:pPr>
      <w:pBdr/>
      <w:spacing w:after="0" w:line="240" w:lineRule="auto"/>
      <w:ind/>
    </w:pPr>
    <w:rPr>
      <w:sz w:val="20"/>
      <w:szCs w:val="20"/>
    </w:rPr>
  </w:style>
  <w:style w:type="character" w:styleId="865">
    <w:name w:val="Endnote Text Char"/>
    <w:basedOn w:val="894"/>
    <w:link w:val="864"/>
    <w:uiPriority w:val="99"/>
    <w:semiHidden/>
    <w:pPr>
      <w:pBdr/>
      <w:spacing/>
      <w:ind/>
    </w:pPr>
    <w:rPr>
      <w:sz w:val="20"/>
      <w:szCs w:val="20"/>
    </w:rPr>
  </w:style>
  <w:style w:type="character" w:styleId="866">
    <w:name w:val="endnote reference"/>
    <w:basedOn w:val="894"/>
    <w:uiPriority w:val="99"/>
    <w:semiHidden/>
    <w:unhideWhenUsed/>
    <w:pPr>
      <w:pBdr/>
      <w:spacing/>
      <w:ind/>
    </w:pPr>
    <w:rPr>
      <w:vertAlign w:val="superscript"/>
    </w:rPr>
  </w:style>
  <w:style w:type="character" w:styleId="867">
    <w:name w:val="Hyperlink"/>
    <w:basedOn w:val="894"/>
    <w:uiPriority w:val="99"/>
    <w:unhideWhenUsed/>
    <w:pPr>
      <w:pBdr/>
      <w:spacing/>
      <w:ind/>
    </w:pPr>
    <w:rPr>
      <w:color w:val="0563c1" w:themeColor="hyperlink"/>
      <w:u w:val="single"/>
    </w:rPr>
  </w:style>
  <w:style w:type="character" w:styleId="868">
    <w:name w:val="FollowedHyperlink"/>
    <w:basedOn w:val="894"/>
    <w:uiPriority w:val="99"/>
    <w:semiHidden/>
    <w:unhideWhenUsed/>
    <w:pPr>
      <w:pBdr/>
      <w:spacing/>
      <w:ind/>
    </w:pPr>
    <w:rPr>
      <w:color w:val="954f72" w:themeColor="followedHyperlink"/>
      <w:u w:val="single"/>
    </w:rPr>
  </w:style>
  <w:style w:type="paragraph" w:styleId="869">
    <w:name w:val="toc 1"/>
    <w:basedOn w:val="880"/>
    <w:next w:val="880"/>
    <w:uiPriority w:val="39"/>
    <w:unhideWhenUsed/>
    <w:pPr>
      <w:pBdr/>
      <w:spacing w:after="100"/>
      <w:ind/>
    </w:pPr>
  </w:style>
  <w:style w:type="paragraph" w:styleId="870">
    <w:name w:val="toc 2"/>
    <w:basedOn w:val="880"/>
    <w:next w:val="880"/>
    <w:uiPriority w:val="39"/>
    <w:unhideWhenUsed/>
    <w:pPr>
      <w:pBdr/>
      <w:spacing w:after="100"/>
      <w:ind w:left="220"/>
    </w:pPr>
  </w:style>
  <w:style w:type="paragraph" w:styleId="871">
    <w:name w:val="toc 3"/>
    <w:basedOn w:val="880"/>
    <w:next w:val="880"/>
    <w:uiPriority w:val="39"/>
    <w:unhideWhenUsed/>
    <w:pPr>
      <w:pBdr/>
      <w:spacing w:after="100"/>
      <w:ind w:left="440"/>
    </w:pPr>
  </w:style>
  <w:style w:type="paragraph" w:styleId="872">
    <w:name w:val="toc 4"/>
    <w:basedOn w:val="880"/>
    <w:next w:val="880"/>
    <w:uiPriority w:val="39"/>
    <w:unhideWhenUsed/>
    <w:pPr>
      <w:pBdr/>
      <w:spacing w:after="100"/>
      <w:ind w:left="660"/>
    </w:pPr>
  </w:style>
  <w:style w:type="paragraph" w:styleId="873">
    <w:name w:val="toc 5"/>
    <w:basedOn w:val="880"/>
    <w:next w:val="880"/>
    <w:uiPriority w:val="39"/>
    <w:unhideWhenUsed/>
    <w:pPr>
      <w:pBdr/>
      <w:spacing w:after="100"/>
      <w:ind w:left="880"/>
    </w:pPr>
  </w:style>
  <w:style w:type="paragraph" w:styleId="874">
    <w:name w:val="toc 6"/>
    <w:basedOn w:val="880"/>
    <w:next w:val="880"/>
    <w:uiPriority w:val="39"/>
    <w:unhideWhenUsed/>
    <w:pPr>
      <w:pBdr/>
      <w:spacing w:after="100"/>
      <w:ind w:left="1100"/>
    </w:pPr>
  </w:style>
  <w:style w:type="paragraph" w:styleId="875">
    <w:name w:val="toc 7"/>
    <w:basedOn w:val="880"/>
    <w:next w:val="880"/>
    <w:uiPriority w:val="39"/>
    <w:unhideWhenUsed/>
    <w:pPr>
      <w:pBdr/>
      <w:spacing w:after="100"/>
      <w:ind w:left="1320"/>
    </w:pPr>
  </w:style>
  <w:style w:type="paragraph" w:styleId="876">
    <w:name w:val="toc 8"/>
    <w:basedOn w:val="880"/>
    <w:next w:val="880"/>
    <w:uiPriority w:val="39"/>
    <w:unhideWhenUsed/>
    <w:pPr>
      <w:pBdr/>
      <w:spacing w:after="100"/>
      <w:ind w:left="1540"/>
    </w:pPr>
  </w:style>
  <w:style w:type="paragraph" w:styleId="877">
    <w:name w:val="toc 9"/>
    <w:basedOn w:val="880"/>
    <w:next w:val="880"/>
    <w:uiPriority w:val="39"/>
    <w:unhideWhenUsed/>
    <w:pPr>
      <w:pBdr/>
      <w:spacing w:after="100"/>
      <w:ind w:left="1760"/>
    </w:pPr>
  </w:style>
  <w:style w:type="character" w:styleId="878">
    <w:name w:val="Placeholder Text"/>
    <w:basedOn w:val="894"/>
    <w:uiPriority w:val="99"/>
    <w:semiHidden/>
    <w:pPr>
      <w:pBdr/>
      <w:spacing/>
      <w:ind/>
    </w:pPr>
    <w:rPr>
      <w:color w:val="666666"/>
    </w:rPr>
  </w:style>
  <w:style w:type="paragraph" w:styleId="879">
    <w:name w:val="table of figures"/>
    <w:basedOn w:val="880"/>
    <w:next w:val="880"/>
    <w:uiPriority w:val="99"/>
    <w:unhideWhenUsed/>
    <w:pPr>
      <w:pBdr/>
      <w:spacing w:after="0" w:afterAutospacing="0"/>
      <w:ind/>
    </w:pPr>
  </w:style>
  <w:style w:type="paragraph" w:styleId="880" w:default="1">
    <w:name w:val="Normal"/>
    <w:qFormat/>
    <w:pPr>
      <w:pBdr/>
      <w:spacing w:after="160"/>
      <w:ind w:firstLine="720"/>
      <w:jc w:val="both"/>
    </w:pPr>
    <w:rPr>
      <w:rFonts w:ascii="Readex Pro" w:hAnsi="Readex Pro" w:eastAsia="Readex Pro" w:cs="Readex Pro"/>
      <w:sz w:val="22"/>
    </w:rPr>
  </w:style>
  <w:style w:type="paragraph" w:styleId="881">
    <w:name w:val="Header"/>
    <w:basedOn w:val="880"/>
    <w:link w:val="882"/>
    <w:uiPriority w:val="99"/>
    <w:unhideWhenUsed/>
    <w:pPr>
      <w:pBdr/>
      <w:tabs>
        <w:tab w:val="center" w:leader="none" w:pos="4680"/>
        <w:tab w:val="right" w:leader="none" w:pos="9360"/>
      </w:tabs>
      <w:spacing w:after="0" w:line="240" w:lineRule="auto"/>
      <w:ind/>
    </w:pPr>
  </w:style>
  <w:style w:type="character" w:styleId="882" w:customStyle="1">
    <w:name w:val="Header Char"/>
    <w:basedOn w:val="894"/>
    <w:link w:val="881"/>
    <w:uiPriority w:val="99"/>
    <w:pPr>
      <w:pBdr/>
      <w:spacing/>
      <w:ind/>
    </w:pPr>
  </w:style>
  <w:style w:type="paragraph" w:styleId="883">
    <w:name w:val="Footer"/>
    <w:basedOn w:val="880"/>
    <w:link w:val="884"/>
    <w:uiPriority w:val="99"/>
    <w:unhideWhenUsed/>
    <w:pPr>
      <w:pBdr/>
      <w:tabs>
        <w:tab w:val="center" w:leader="none" w:pos="4680"/>
        <w:tab w:val="right" w:leader="none" w:pos="9360"/>
      </w:tabs>
      <w:spacing w:after="0" w:line="240" w:lineRule="auto"/>
      <w:ind/>
    </w:pPr>
  </w:style>
  <w:style w:type="character" w:styleId="884" w:customStyle="1">
    <w:name w:val="Footer Char"/>
    <w:basedOn w:val="894"/>
    <w:link w:val="883"/>
    <w:uiPriority w:val="99"/>
    <w:pPr>
      <w:pBdr/>
      <w:spacing/>
      <w:ind/>
    </w:pPr>
  </w:style>
  <w:style w:type="paragraph" w:styleId="885">
    <w:name w:val="Heading 1"/>
    <w:basedOn w:val="880"/>
    <w:next w:val="880"/>
    <w:link w:val="898"/>
    <w:uiPriority w:val="9"/>
    <w:qFormat/>
    <w:pPr>
      <w:keepNext w:val="true"/>
      <w:keepLines w:val="true"/>
      <w:pBdr/>
      <w:spacing w:after="0" w:before="480"/>
      <w:ind w:firstLine="0"/>
      <w:outlineLvl w:val="0"/>
    </w:pPr>
    <w:rPr>
      <w:rFonts w:ascii="Readex Pro" w:hAnsi="Readex Pro" w:eastAsia="Readex Pro" w:cs="Readex Pro"/>
      <w:b/>
      <w:bCs/>
      <w:color w:val="765718"/>
      <w:sz w:val="28"/>
      <w:szCs w:val="28"/>
    </w:rPr>
  </w:style>
  <w:style w:type="paragraph" w:styleId="886">
    <w:name w:val="Heading 2"/>
    <w:basedOn w:val="880"/>
    <w:next w:val="880"/>
    <w:link w:val="899"/>
    <w:uiPriority w:val="9"/>
    <w:unhideWhenUsed/>
    <w:qFormat/>
    <w:pPr>
      <w:keepNext w:val="true"/>
      <w:keepLines w:val="true"/>
      <w:pBdr/>
      <w:spacing w:after="0" w:before="200"/>
      <w:ind w:firstLine="0"/>
      <w:outlineLvl w:val="1"/>
    </w:pPr>
    <w:rPr>
      <w:rFonts w:ascii="Readex Pro" w:hAnsi="Readex Pro" w:eastAsia="Readex Pro" w:cs="Readex Pro"/>
      <w:b/>
      <w:bCs/>
      <w:color w:val="ad8638"/>
      <w:sz w:val="26"/>
      <w:szCs w:val="26"/>
    </w:rPr>
  </w:style>
  <w:style w:type="paragraph" w:styleId="887">
    <w:name w:val="Heading 3"/>
    <w:basedOn w:val="880"/>
    <w:next w:val="880"/>
    <w:link w:val="900"/>
    <w:uiPriority w:val="9"/>
    <w:unhideWhenUsed/>
    <w:qFormat/>
    <w:pPr>
      <w:keepNext w:val="true"/>
      <w:keepLines w:val="true"/>
      <w:pBdr/>
      <w:spacing w:after="0" w:before="200"/>
      <w:ind w:firstLine="0"/>
      <w:outlineLvl w:val="2"/>
    </w:pPr>
    <w:rPr>
      <w:rFonts w:ascii="Readex Pro" w:hAnsi="Readex Pro" w:eastAsia="Readex Pro" w:cs="Readex Pro"/>
      <w:b/>
      <w:bCs/>
      <w:color w:val="d1a54d"/>
    </w:rPr>
  </w:style>
  <w:style w:type="paragraph" w:styleId="888">
    <w:name w:val="Heading 4"/>
    <w:basedOn w:val="880"/>
    <w:next w:val="880"/>
    <w:link w:val="928"/>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89">
    <w:name w:val="Heading 5"/>
    <w:basedOn w:val="880"/>
    <w:next w:val="880"/>
    <w:link w:val="929"/>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90">
    <w:name w:val="Heading 6"/>
    <w:basedOn w:val="880"/>
    <w:next w:val="880"/>
    <w:link w:val="930"/>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91">
    <w:name w:val="Heading 7"/>
    <w:basedOn w:val="880"/>
    <w:next w:val="880"/>
    <w:link w:val="931"/>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92">
    <w:name w:val="Heading 8"/>
    <w:basedOn w:val="880"/>
    <w:next w:val="880"/>
    <w:link w:val="932"/>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93">
    <w:name w:val="Heading 9"/>
    <w:basedOn w:val="880"/>
    <w:next w:val="880"/>
    <w:link w:val="933"/>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94" w:default="1">
    <w:name w:val="Default Paragraph Font"/>
    <w:uiPriority w:val="1"/>
    <w:semiHidden/>
    <w:unhideWhenUsed/>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uiPriority w:val="1"/>
    <w:qFormat/>
    <w:pPr>
      <w:pBdr/>
      <w:spacing w:after="0" w:line="240" w:lineRule="auto"/>
      <w:ind/>
    </w:pPr>
    <w:rPr>
      <w:rFonts w:ascii="Readex Pro" w:hAnsi="Readex Pro" w:eastAsia="Readex Pro" w:cs="Readex Pro"/>
    </w:rPr>
  </w:style>
  <w:style w:type="character" w:styleId="898" w:customStyle="1">
    <w:name w:val="Heading 1 Char"/>
    <w:link w:val="885"/>
    <w:uiPriority w:val="9"/>
    <w:pPr>
      <w:pBdr/>
      <w:spacing/>
      <w:ind/>
    </w:pPr>
  </w:style>
  <w:style w:type="character" w:styleId="899" w:customStyle="1">
    <w:name w:val="Heading 2 Char"/>
    <w:link w:val="886"/>
    <w:uiPriority w:val="9"/>
    <w:pPr>
      <w:pBdr/>
      <w:spacing/>
      <w:ind/>
    </w:pPr>
  </w:style>
  <w:style w:type="character" w:styleId="900" w:customStyle="1">
    <w:name w:val="Heading 3 Char"/>
    <w:link w:val="887"/>
    <w:uiPriority w:val="9"/>
    <w:pPr>
      <w:pBdr/>
      <w:spacing/>
      <w:ind/>
    </w:pPr>
  </w:style>
  <w:style w:type="paragraph" w:styleId="901">
    <w:name w:val="Title"/>
    <w:basedOn w:val="880"/>
    <w:next w:val="880"/>
    <w:link w:val="90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902" w:customStyle="1">
    <w:name w:val="Title Char"/>
    <w:basedOn w:val="894"/>
    <w:link w:val="901"/>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03">
    <w:name w:val="Subtitle"/>
    <w:basedOn w:val="880"/>
    <w:next w:val="880"/>
    <w:link w:val="904"/>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04" w:customStyle="1">
    <w:name w:val="Subtitle Char"/>
    <w:basedOn w:val="894"/>
    <w:link w:val="903"/>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05">
    <w:name w:val="List Paragraph"/>
    <w:basedOn w:val="880"/>
    <w:uiPriority w:val="34"/>
    <w:qFormat/>
    <w:pPr>
      <w:pBdr/>
      <w:spacing/>
      <w:ind w:left="720"/>
      <w:contextualSpacing w:val="true"/>
    </w:pPr>
  </w:style>
  <w:style w:type="paragraph" w:styleId="906">
    <w:name w:val="Body Text"/>
    <w:basedOn w:val="880"/>
    <w:link w:val="907"/>
    <w:uiPriority w:val="99"/>
    <w:unhideWhenUsed/>
    <w:pPr>
      <w:pBdr/>
      <w:spacing w:after="120"/>
      <w:ind/>
    </w:pPr>
  </w:style>
  <w:style w:type="character" w:styleId="907" w:customStyle="1">
    <w:name w:val="Body Text Char"/>
    <w:basedOn w:val="894"/>
    <w:link w:val="906"/>
    <w:uiPriority w:val="99"/>
    <w:pPr>
      <w:pBdr/>
      <w:spacing/>
      <w:ind/>
    </w:pPr>
  </w:style>
  <w:style w:type="paragraph" w:styleId="908">
    <w:name w:val="Body Text 2"/>
    <w:basedOn w:val="880"/>
    <w:link w:val="909"/>
    <w:uiPriority w:val="99"/>
    <w:unhideWhenUsed/>
    <w:pPr>
      <w:pBdr/>
      <w:spacing w:after="120" w:line="480" w:lineRule="auto"/>
      <w:ind/>
    </w:pPr>
  </w:style>
  <w:style w:type="character" w:styleId="909" w:customStyle="1">
    <w:name w:val="Body Text 2 Char"/>
    <w:basedOn w:val="894"/>
    <w:link w:val="908"/>
    <w:uiPriority w:val="99"/>
    <w:pPr>
      <w:pBdr/>
      <w:spacing/>
      <w:ind/>
    </w:pPr>
  </w:style>
  <w:style w:type="paragraph" w:styleId="910">
    <w:name w:val="Body Text 3"/>
    <w:basedOn w:val="880"/>
    <w:link w:val="911"/>
    <w:uiPriority w:val="99"/>
    <w:unhideWhenUsed/>
    <w:pPr>
      <w:pBdr/>
      <w:spacing w:after="120"/>
      <w:ind/>
    </w:pPr>
    <w:rPr>
      <w:sz w:val="16"/>
      <w:szCs w:val="16"/>
    </w:rPr>
  </w:style>
  <w:style w:type="character" w:styleId="911" w:customStyle="1">
    <w:name w:val="Body Text 3 Char"/>
    <w:basedOn w:val="894"/>
    <w:link w:val="910"/>
    <w:uiPriority w:val="99"/>
    <w:pPr>
      <w:pBdr/>
      <w:spacing/>
      <w:ind/>
    </w:pPr>
    <w:rPr>
      <w:sz w:val="16"/>
      <w:szCs w:val="16"/>
    </w:rPr>
  </w:style>
  <w:style w:type="paragraph" w:styleId="912">
    <w:name w:val="List"/>
    <w:basedOn w:val="880"/>
    <w:uiPriority w:val="99"/>
    <w:unhideWhenUsed/>
    <w:pPr>
      <w:pBdr/>
      <w:spacing/>
      <w:ind w:hanging="360" w:left="360"/>
      <w:contextualSpacing w:val="true"/>
    </w:pPr>
  </w:style>
  <w:style w:type="paragraph" w:styleId="913">
    <w:name w:val="List 2"/>
    <w:basedOn w:val="880"/>
    <w:uiPriority w:val="99"/>
    <w:unhideWhenUsed/>
    <w:pPr>
      <w:pBdr/>
      <w:spacing/>
      <w:ind w:hanging="360" w:left="720"/>
      <w:contextualSpacing w:val="true"/>
    </w:pPr>
  </w:style>
  <w:style w:type="paragraph" w:styleId="914">
    <w:name w:val="List 3"/>
    <w:basedOn w:val="880"/>
    <w:uiPriority w:val="99"/>
    <w:unhideWhenUsed/>
    <w:pPr>
      <w:pBdr/>
      <w:spacing/>
      <w:ind w:hanging="360" w:left="1080"/>
      <w:contextualSpacing w:val="true"/>
    </w:pPr>
  </w:style>
  <w:style w:type="paragraph" w:styleId="915">
    <w:name w:val="List Bullet"/>
    <w:basedOn w:val="880"/>
    <w:uiPriority w:val="99"/>
    <w:unhideWhenUsed/>
    <w:pPr>
      <w:numPr>
        <w:numId w:val="1"/>
      </w:numPr>
      <w:pBdr/>
      <w:spacing/>
      <w:ind/>
      <w:contextualSpacing w:val="true"/>
    </w:pPr>
  </w:style>
  <w:style w:type="paragraph" w:styleId="916">
    <w:name w:val="List Bullet 2"/>
    <w:basedOn w:val="880"/>
    <w:uiPriority w:val="99"/>
    <w:unhideWhenUsed/>
    <w:pPr>
      <w:numPr>
        <w:numId w:val="2"/>
      </w:numPr>
      <w:pBdr/>
      <w:spacing/>
      <w:ind/>
      <w:contextualSpacing w:val="true"/>
    </w:pPr>
  </w:style>
  <w:style w:type="paragraph" w:styleId="917">
    <w:name w:val="List Bullet 3"/>
    <w:basedOn w:val="880"/>
    <w:uiPriority w:val="99"/>
    <w:unhideWhenUsed/>
    <w:pPr>
      <w:numPr>
        <w:numId w:val="3"/>
      </w:numPr>
      <w:pBdr/>
      <w:spacing/>
      <w:ind/>
      <w:contextualSpacing w:val="true"/>
    </w:pPr>
  </w:style>
  <w:style w:type="paragraph" w:styleId="918">
    <w:name w:val="List Number"/>
    <w:basedOn w:val="880"/>
    <w:uiPriority w:val="99"/>
    <w:unhideWhenUsed/>
    <w:pPr>
      <w:numPr>
        <w:numId w:val="5"/>
      </w:numPr>
      <w:pBdr/>
      <w:spacing/>
      <w:ind/>
      <w:contextualSpacing w:val="true"/>
    </w:pPr>
  </w:style>
  <w:style w:type="paragraph" w:styleId="919">
    <w:name w:val="List Number 2"/>
    <w:basedOn w:val="880"/>
    <w:uiPriority w:val="99"/>
    <w:unhideWhenUsed/>
    <w:pPr>
      <w:numPr>
        <w:numId w:val="6"/>
      </w:numPr>
      <w:pBdr/>
      <w:spacing/>
      <w:ind/>
      <w:contextualSpacing w:val="true"/>
    </w:pPr>
  </w:style>
  <w:style w:type="paragraph" w:styleId="920">
    <w:name w:val="List Number 3"/>
    <w:basedOn w:val="880"/>
    <w:uiPriority w:val="99"/>
    <w:unhideWhenUsed/>
    <w:pPr>
      <w:numPr>
        <w:numId w:val="7"/>
      </w:numPr>
      <w:pBdr/>
      <w:spacing/>
      <w:ind/>
      <w:contextualSpacing w:val="true"/>
    </w:pPr>
  </w:style>
  <w:style w:type="paragraph" w:styleId="921">
    <w:name w:val="List Continue"/>
    <w:basedOn w:val="880"/>
    <w:uiPriority w:val="99"/>
    <w:unhideWhenUsed/>
    <w:pPr>
      <w:pBdr/>
      <w:spacing w:after="120"/>
      <w:ind w:left="360"/>
      <w:contextualSpacing w:val="true"/>
    </w:pPr>
  </w:style>
  <w:style w:type="paragraph" w:styleId="922">
    <w:name w:val="List Continue 2"/>
    <w:basedOn w:val="880"/>
    <w:uiPriority w:val="99"/>
    <w:unhideWhenUsed/>
    <w:pPr>
      <w:pBdr/>
      <w:spacing w:after="120"/>
      <w:ind w:left="720"/>
      <w:contextualSpacing w:val="true"/>
    </w:pPr>
  </w:style>
  <w:style w:type="paragraph" w:styleId="923">
    <w:name w:val="List Continue 3"/>
    <w:basedOn w:val="880"/>
    <w:uiPriority w:val="99"/>
    <w:unhideWhenUsed/>
    <w:pPr>
      <w:pBdr/>
      <w:spacing w:after="120"/>
      <w:ind w:left="1080"/>
      <w:contextualSpacing w:val="true"/>
    </w:pPr>
  </w:style>
  <w:style w:type="paragraph" w:styleId="924">
    <w:name w:val="macro"/>
    <w:link w:val="925"/>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25" w:customStyle="1">
    <w:name w:val="Macro Text Char"/>
    <w:basedOn w:val="894"/>
    <w:link w:val="924"/>
    <w:uiPriority w:val="99"/>
    <w:pPr>
      <w:pBdr/>
      <w:spacing/>
      <w:ind/>
    </w:pPr>
    <w:rPr>
      <w:rFonts w:ascii="Courier" w:hAnsi="Courier"/>
      <w:sz w:val="20"/>
      <w:szCs w:val="20"/>
    </w:rPr>
  </w:style>
  <w:style w:type="paragraph" w:styleId="926">
    <w:name w:val="Quote"/>
    <w:basedOn w:val="880"/>
    <w:next w:val="880"/>
    <w:link w:val="927"/>
    <w:uiPriority w:val="29"/>
    <w:qFormat/>
    <w:pPr>
      <w:pBdr/>
      <w:spacing/>
      <w:ind/>
    </w:pPr>
    <w:rPr>
      <w:i/>
      <w:iCs/>
      <w:color w:val="000000" w:themeColor="text1"/>
    </w:rPr>
  </w:style>
  <w:style w:type="character" w:styleId="927" w:customStyle="1">
    <w:name w:val="Quote Char"/>
    <w:basedOn w:val="894"/>
    <w:link w:val="926"/>
    <w:uiPriority w:val="29"/>
    <w:pPr>
      <w:pBdr/>
      <w:spacing/>
      <w:ind/>
    </w:pPr>
    <w:rPr>
      <w:i/>
      <w:iCs/>
      <w:color w:val="000000" w:themeColor="text1"/>
    </w:rPr>
  </w:style>
  <w:style w:type="character" w:styleId="928" w:customStyle="1">
    <w:name w:val="Heading 4 Char"/>
    <w:basedOn w:val="894"/>
    <w:link w:val="888"/>
    <w:uiPriority w:val="9"/>
    <w:semiHidden/>
    <w:pPr>
      <w:pBdr/>
      <w:spacing/>
      <w:ind/>
    </w:pPr>
    <w:rPr>
      <w:rFonts w:asciiTheme="majorHAnsi" w:hAnsiTheme="majorHAnsi" w:eastAsiaTheme="majorEastAsia" w:cstheme="majorBidi"/>
      <w:b/>
      <w:bCs/>
      <w:i/>
      <w:iCs/>
      <w:color w:val="4f81bd" w:themeColor="accent1"/>
    </w:rPr>
  </w:style>
  <w:style w:type="character" w:styleId="929" w:customStyle="1">
    <w:name w:val="Heading 5 Char"/>
    <w:basedOn w:val="894"/>
    <w:link w:val="889"/>
    <w:uiPriority w:val="9"/>
    <w:semiHidden/>
    <w:pPr>
      <w:pBdr/>
      <w:spacing/>
      <w:ind/>
    </w:pPr>
    <w:rPr>
      <w:rFonts w:asciiTheme="majorHAnsi" w:hAnsiTheme="majorHAnsi" w:eastAsiaTheme="majorEastAsia" w:cstheme="majorBidi"/>
      <w:color w:val="243f60" w:themeColor="accent1" w:themeShade="7F"/>
    </w:rPr>
  </w:style>
  <w:style w:type="character" w:styleId="930" w:customStyle="1">
    <w:name w:val="Heading 6 Char"/>
    <w:basedOn w:val="894"/>
    <w:link w:val="890"/>
    <w:uiPriority w:val="9"/>
    <w:semiHidden/>
    <w:pPr>
      <w:pBdr/>
      <w:spacing/>
      <w:ind/>
    </w:pPr>
    <w:rPr>
      <w:rFonts w:asciiTheme="majorHAnsi" w:hAnsiTheme="majorHAnsi" w:eastAsiaTheme="majorEastAsia" w:cstheme="majorBidi"/>
      <w:i/>
      <w:iCs/>
      <w:color w:val="243f60" w:themeColor="accent1" w:themeShade="7F"/>
    </w:rPr>
  </w:style>
  <w:style w:type="character" w:styleId="931" w:customStyle="1">
    <w:name w:val="Heading 7 Char"/>
    <w:basedOn w:val="894"/>
    <w:link w:val="891"/>
    <w:uiPriority w:val="9"/>
    <w:semiHidden/>
    <w:pPr>
      <w:pBdr/>
      <w:spacing/>
      <w:ind/>
    </w:pPr>
    <w:rPr>
      <w:rFonts w:asciiTheme="majorHAnsi" w:hAnsiTheme="majorHAnsi" w:eastAsiaTheme="majorEastAsia" w:cstheme="majorBidi"/>
      <w:i/>
      <w:iCs/>
      <w:color w:val="404040" w:themeColor="text1" w:themeTint="BF"/>
    </w:rPr>
  </w:style>
  <w:style w:type="character" w:styleId="932" w:customStyle="1">
    <w:name w:val="Heading 8 Char"/>
    <w:basedOn w:val="894"/>
    <w:link w:val="892"/>
    <w:uiPriority w:val="9"/>
    <w:semiHidden/>
    <w:pPr>
      <w:pBdr/>
      <w:spacing/>
      <w:ind/>
    </w:pPr>
    <w:rPr>
      <w:rFonts w:asciiTheme="majorHAnsi" w:hAnsiTheme="majorHAnsi" w:eastAsiaTheme="majorEastAsia" w:cstheme="majorBidi"/>
      <w:color w:val="4f81bd" w:themeColor="accent1"/>
      <w:sz w:val="20"/>
      <w:szCs w:val="20"/>
    </w:rPr>
  </w:style>
  <w:style w:type="character" w:styleId="933" w:customStyle="1">
    <w:name w:val="Heading 9 Char"/>
    <w:basedOn w:val="894"/>
    <w:link w:val="893"/>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34">
    <w:name w:val="Caption"/>
    <w:basedOn w:val="880"/>
    <w:next w:val="880"/>
    <w:uiPriority w:val="35"/>
    <w:semiHidden/>
    <w:unhideWhenUsed/>
    <w:qFormat/>
    <w:pPr>
      <w:pBdr/>
      <w:spacing w:line="240" w:lineRule="auto"/>
      <w:ind w:firstLine="0"/>
    </w:pPr>
    <w:rPr>
      <w:b/>
      <w:bCs/>
      <w:color w:val="4f81bd" w:themeColor="accent6" w:themeTint="99"/>
      <w:sz w:val="18"/>
      <w:szCs w:val="18"/>
    </w:rPr>
  </w:style>
  <w:style w:type="character" w:styleId="935">
    <w:name w:val="Strong"/>
    <w:basedOn w:val="894"/>
    <w:uiPriority w:val="22"/>
    <w:qFormat/>
    <w:pPr>
      <w:pBdr/>
      <w:spacing/>
      <w:ind/>
    </w:pPr>
    <w:rPr>
      <w:b/>
      <w:bCs/>
    </w:rPr>
  </w:style>
  <w:style w:type="character" w:styleId="936">
    <w:name w:val="Emphasis"/>
    <w:basedOn w:val="894"/>
    <w:uiPriority w:val="20"/>
    <w:qFormat/>
    <w:pPr>
      <w:pBdr/>
      <w:spacing/>
      <w:ind/>
    </w:pPr>
    <w:rPr>
      <w:i/>
      <w:iCs/>
    </w:rPr>
  </w:style>
  <w:style w:type="paragraph" w:styleId="937">
    <w:name w:val="Intense Quote"/>
    <w:basedOn w:val="880"/>
    <w:next w:val="880"/>
    <w:link w:val="938"/>
    <w:uiPriority w:val="30"/>
    <w:qFormat/>
    <w:pPr>
      <w:pBdr>
        <w:bottom w:val="single" w:color="4f81bd" w:themeColor="accent1" w:sz="4" w:space="4"/>
      </w:pBdr>
      <w:spacing w:after="280" w:before="200"/>
      <w:ind w:right="936" w:left="936"/>
    </w:pPr>
    <w:rPr>
      <w:b/>
      <w:bCs/>
      <w:i/>
      <w:iCs/>
      <w:color w:val="4f81bd" w:themeColor="accent1"/>
    </w:rPr>
  </w:style>
  <w:style w:type="character" w:styleId="938" w:customStyle="1">
    <w:name w:val="Intense Quote Char"/>
    <w:basedOn w:val="894"/>
    <w:link w:val="937"/>
    <w:uiPriority w:val="30"/>
    <w:pPr>
      <w:pBdr/>
      <w:spacing/>
      <w:ind/>
    </w:pPr>
    <w:rPr>
      <w:b/>
      <w:bCs/>
      <w:i/>
      <w:iCs/>
      <w:color w:val="4f81bd" w:themeColor="accent1"/>
    </w:rPr>
  </w:style>
  <w:style w:type="character" w:styleId="939">
    <w:name w:val="Subtle Emphasis"/>
    <w:basedOn w:val="894"/>
    <w:uiPriority w:val="19"/>
    <w:qFormat/>
    <w:pPr>
      <w:pBdr/>
      <w:spacing/>
      <w:ind/>
    </w:pPr>
    <w:rPr>
      <w:i/>
      <w:iCs/>
      <w:color w:val="808080" w:themeColor="text1" w:themeTint="7F"/>
    </w:rPr>
  </w:style>
  <w:style w:type="character" w:styleId="940">
    <w:name w:val="Intense Emphasis"/>
    <w:basedOn w:val="894"/>
    <w:uiPriority w:val="21"/>
    <w:qFormat/>
    <w:pPr>
      <w:pBdr/>
      <w:spacing/>
      <w:ind/>
    </w:pPr>
    <w:rPr>
      <w:b/>
      <w:bCs/>
      <w:i/>
      <w:iCs/>
      <w:color w:val="4f81bd" w:themeColor="accent1"/>
    </w:rPr>
  </w:style>
  <w:style w:type="character" w:styleId="941">
    <w:name w:val="Subtle Reference"/>
    <w:basedOn w:val="894"/>
    <w:uiPriority w:val="31"/>
    <w:qFormat/>
    <w:pPr>
      <w:pBdr/>
      <w:spacing/>
      <w:ind/>
    </w:pPr>
    <w:rPr>
      <w:smallCaps/>
      <w:color w:val="c0504d" w:themeColor="accent2"/>
      <w:u w:val="single"/>
    </w:rPr>
  </w:style>
  <w:style w:type="character" w:styleId="942">
    <w:name w:val="Intense Reference"/>
    <w:basedOn w:val="894"/>
    <w:uiPriority w:val="32"/>
    <w:qFormat/>
    <w:pPr>
      <w:pBdr/>
      <w:spacing/>
      <w:ind/>
    </w:pPr>
    <w:rPr>
      <w:b/>
      <w:bCs/>
      <w:smallCaps/>
      <w:color w:val="c0504d" w:themeColor="accent2"/>
      <w:spacing w:val="5"/>
      <w:u w:val="single"/>
    </w:rPr>
  </w:style>
  <w:style w:type="character" w:styleId="943">
    <w:name w:val="Book Title"/>
    <w:basedOn w:val="894"/>
    <w:uiPriority w:val="33"/>
    <w:qFormat/>
    <w:pPr>
      <w:pBdr/>
      <w:spacing/>
      <w:ind/>
    </w:pPr>
    <w:rPr>
      <w:b/>
      <w:bCs/>
      <w:smallCaps/>
      <w:spacing w:val="5"/>
    </w:rPr>
  </w:style>
  <w:style w:type="paragraph" w:styleId="944">
    <w:name w:val="TOC Heading"/>
    <w:basedOn w:val="885"/>
    <w:next w:val="880"/>
    <w:uiPriority w:val="39"/>
    <w:semiHidden/>
    <w:unhideWhenUsed/>
    <w:qFormat/>
    <w:pPr>
      <w:pBdr/>
      <w:spacing/>
      <w:ind/>
      <w:outlineLvl w:val="9"/>
    </w:pPr>
  </w:style>
  <w:style w:type="table" w:styleId="945">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Shading"/>
    <w:basedOn w:val="895"/>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Shading Accent 1"/>
    <w:basedOn w:val="895"/>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Shading Accent 2"/>
    <w:basedOn w:val="895"/>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Shading Accent 3"/>
    <w:basedOn w:val="895"/>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Shading Accent 4"/>
    <w:basedOn w:val="895"/>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Shading Accent 5"/>
    <w:basedOn w:val="895"/>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Shading Accent 6"/>
    <w:basedOn w:val="895"/>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List"/>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List Accent 1"/>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List Accent 2"/>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ght List Accent 3"/>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ght List Accent 4"/>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List Accent 5"/>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List Accent 6"/>
    <w:basedOn w:val="895"/>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Grid"/>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Grid Accent 1"/>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Grid Accent 2"/>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Grid Accent 3"/>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Grid Accent 4"/>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Grid Accent 5"/>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Grid Accent 6"/>
    <w:basedOn w:val="895"/>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1"/>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1 Accent 1"/>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1 Accent 2"/>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Shading 1 Accent 3"/>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Shading 1 Accent 4"/>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Shading 1 Accent 5"/>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Shading 1 Accent 6"/>
    <w:basedOn w:val="895"/>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Shading 2"/>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Shading 2 Accent 1"/>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Shading 2 Accent 2"/>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Shading 2 Accent 3"/>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Shading 2 Accent 4"/>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2 Accent 5"/>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2 Accent 6"/>
    <w:basedOn w:val="895"/>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1"/>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1 Accent 1"/>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1 Accent 2"/>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List 1 Accent 3"/>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List 1 Accent 4"/>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List 1 Accent 5"/>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List 1 Accent 6"/>
    <w:basedOn w:val="895"/>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List 2"/>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List 2 Accent 1"/>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List 2 Accent 2"/>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List 2 Accent 3"/>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List 2 Accent 4"/>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2 Accent 5"/>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2 Accent 6"/>
    <w:basedOn w:val="895"/>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1"/>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1 Accent 1"/>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1 Accent 2"/>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1 Accent 3"/>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1 Accent 4"/>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1 Accent 5"/>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1 Accent 6"/>
    <w:basedOn w:val="895"/>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2"/>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2 Accent 1"/>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2 Accent 2"/>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Grid 2 Accent 3"/>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Grid 2 Accent 4"/>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2 Accent 5"/>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2 Accent 6"/>
    <w:basedOn w:val="895"/>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3"/>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3 Accent 1"/>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3 Accent 2"/>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3 Accent 3"/>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3 Accent 4"/>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3 Accent 5"/>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3 Accent 6"/>
    <w:basedOn w:val="895"/>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Dark List"/>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Dark List Accent 1"/>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Dark List Accent 2"/>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Dark List Accent 3"/>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Dark List Accent 4"/>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Dark List Accent 5"/>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Dark List Accent 6"/>
    <w:basedOn w:val="895"/>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Shading"/>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Shading Accent 1"/>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Shading Accent 2"/>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Shading Accent 3"/>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Shading Accent 4"/>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Shading Accent 5"/>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Shading Accent 6"/>
    <w:basedOn w:val="895"/>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List"/>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List Accent 1"/>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List Accent 2"/>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Colorful List Accent 3"/>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Colorful List Accent 4"/>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List Accent 5"/>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List Accent 6"/>
    <w:basedOn w:val="895"/>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Grid"/>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Grid Accent 1"/>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Grid Accent 2"/>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Grid Accent 3"/>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Grid Accent 4"/>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Grid Accent 5"/>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Grid Accent 6"/>
    <w:basedOn w:val="895"/>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_956" w:customStyle="1">
    <w:name w:val="noTOC_character"/>
    <w:link w:val="1_955"/>
    <w:pPr>
      <w:pBdr/>
      <w:spacing/>
      <w:ind/>
    </w:pPr>
    <w:rPr>
      <w:lang w:val="pt-BR"/>
    </w:rPr>
  </w:style>
  <w:style w:type="paragraph" w:styleId="1_955" w:customStyle="1">
    <w:name w:val="noTOC"/>
    <w:basedOn w:val="885"/>
    <w:next w:val="880"/>
    <w:link w:val="1_956"/>
    <w:qFormat/>
    <w:pPr>
      <w:pBdr/>
      <w:spacing/>
      <w:ind/>
    </w:pPr>
    <w:rPr>
      <w:lang w:val="pt-B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hyperlink" Target="https://github.com/joaoesteves10/IS-BetStrik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878"/>
            </w:rPr>
            <w:t xml:space="preserve">Your text here</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5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Table Grid"/>
    <w:basedOn w:val="15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Table Grid Light"/>
    <w:basedOn w:val="15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Plain Table 1"/>
    <w:basedOn w:val="15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Plain Table 2"/>
    <w:basedOn w:val="15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6">
    <w:name w:val="Plain Table 3"/>
    <w:basedOn w:val="15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7">
    <w:name w:val="Plain Table 4"/>
    <w:basedOn w:val="15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8">
    <w:name w:val="Plain Table 5"/>
    <w:basedOn w:val="15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9">
    <w:name w:val="Grid Table 1 Light"/>
    <w:basedOn w:val="15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0">
    <w:name w:val="Grid Table 1 Light - Accent 1"/>
    <w:basedOn w:val="15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1">
    <w:name w:val="Grid Table 1 Light - Accent 2"/>
    <w:basedOn w:val="15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2">
    <w:name w:val="Grid Table 1 Light - Accent 3"/>
    <w:basedOn w:val="15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3">
    <w:name w:val="Grid Table 1 Light - Accent 4"/>
    <w:basedOn w:val="15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4">
    <w:name w:val="Grid Table 1 Light - Accent 5"/>
    <w:basedOn w:val="15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5">
    <w:name w:val="Grid Table 1 Light - Accent 6"/>
    <w:basedOn w:val="15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6">
    <w:name w:val="Grid Table 2"/>
    <w:basedOn w:val="15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7">
    <w:name w:val="Grid Table 2 - Accent 1"/>
    <w:basedOn w:val="15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cecd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cecd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8">
    <w:name w:val="Grid Table 2 - Accent 2"/>
    <w:basedOn w:val="15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29">
    <w:name w:val="Grid Table 2 - Accent 3"/>
    <w:basedOn w:val="15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0">
    <w:name w:val="Grid Table 2 - Accent 4"/>
    <w:basedOn w:val="15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1">
    <w:name w:val="Grid Table 2 - Accent 5"/>
    <w:basedOn w:val="15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2">
    <w:name w:val="Grid Table 2 - Accent 6"/>
    <w:basedOn w:val="15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3">
    <w:name w:val="Grid Table 3"/>
    <w:basedOn w:val="15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4">
    <w:name w:val="Grid Table 3 - Accent 1"/>
    <w:basedOn w:val="15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fcecd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fcecd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5">
    <w:name w:val="Grid Table 3 - Accent 2"/>
    <w:basedOn w:val="15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6">
    <w:name w:val="Grid Table 3 - Accent 3"/>
    <w:basedOn w:val="15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7">
    <w:name w:val="Grid Table 3 - Accent 4"/>
    <w:basedOn w:val="15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8">
    <w:name w:val="Grid Table 3 - Accent 5"/>
    <w:basedOn w:val="15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39">
    <w:name w:val="Grid Table 3 - Accent 6"/>
    <w:basedOn w:val="15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0">
    <w:name w:val="Grid Table 4"/>
    <w:basedOn w:val="15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1">
    <w:name w:val="Grid Table 4 - Accent 1"/>
    <w:basedOn w:val="15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fcedd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fcedd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f1aa3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2">
    <w:name w:val="Grid Table 4 - Accent 2"/>
    <w:basedOn w:val="15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cca2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3">
    <w:name w:val="Grid Table 4 - Accent 3"/>
    <w:basedOn w:val="15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b58b80"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4">
    <w:name w:val="Grid Table 4 - Accent 4"/>
    <w:basedOn w:val="15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dbc1a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5">
    <w:name w:val="Grid Table 4 - Accent 5"/>
    <w:basedOn w:val="15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1957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6">
    <w:name w:val="Grid Table 4 - Accent 6"/>
    <w:basedOn w:val="15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17529"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7">
    <w:name w:val="Grid Table 5 Dark"/>
    <w:basedOn w:val="15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8">
    <w:name w:val="Grid Table 5 Dark- Accent 1"/>
    <w:basedOn w:val="15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fcecd4" w:themeFill="accent1" w:themeFillTint="34"/>
    </w:tblPr>
    <w:tcPr>
      <w:tcBorders/>
    </w:tcPr>
    <w:tblStylePr w:type="band1Horz">
      <w:pPr>
        <w:pBdr/>
        <w:spacing/>
        <w:ind/>
      </w:pPr>
      <w:tblPr>
        <w:tblBorders/>
      </w:tblPr>
      <w:tcPr>
        <w:shd w:val="clear" w:color="ffffff" w:themeColor="accent1" w:themeTint="75" w:fill="f8d49f" w:themeFill="accent1" w:themeFillTint="75"/>
        <w:tcBorders/>
      </w:tcPr>
    </w:tblStylePr>
    <w:tblStylePr w:type="band1Vert">
      <w:pPr>
        <w:pBdr/>
        <w:spacing/>
        <w:ind/>
      </w:pPr>
      <w:tblPr>
        <w:tblBorders/>
      </w:tblPr>
      <w:tcPr>
        <w:shd w:val="clear" w:color="ffffff" w:themeColor="accent1" w:themeTint="75" w:fill="f8d49f"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f0a22e" w:themeFill="accent1"/>
        <w:tcBorders/>
      </w:tcPr>
    </w:tblStylePr>
    <w:tblStylePr w:type="firstRow">
      <w:rPr>
        <w:rFonts w:ascii="Arial" w:hAnsi="Arial"/>
        <w:b/>
        <w:color w:val="ffffff"/>
        <w:sz w:val="22"/>
      </w:rPr>
      <w:pPr>
        <w:pBdr/>
        <w:spacing/>
        <w:ind/>
      </w:pPr>
      <w:tblPr>
        <w:tblBorders/>
      </w:tblPr>
      <w:tcPr>
        <w:shd w:val="clear" w:color="ffffff" w:themeColor="accent1" w:fill="f0a22e" w:themeFill="accent1"/>
        <w:tcBorders/>
      </w:tcPr>
    </w:tblStylePr>
    <w:tblStylePr w:type="lastCol">
      <w:rPr>
        <w:rFonts w:ascii="Arial" w:hAnsi="Arial"/>
        <w:b/>
        <w:color w:val="ffffff"/>
        <w:sz w:val="22"/>
      </w:rPr>
      <w:pPr>
        <w:pBdr/>
        <w:spacing/>
        <w:ind/>
      </w:pPr>
      <w:tblPr>
        <w:tblBorders/>
      </w:tblPr>
      <w:tcPr>
        <w:shd w:val="clear" w:color="ffffff" w:themeColor="accent1" w:fill="f0a22e" w:themeFill="accent1"/>
        <w:tcBorders/>
      </w:tcPr>
    </w:tblStylePr>
    <w:tblStylePr w:type="lastRow">
      <w:rPr>
        <w:rFonts w:ascii="Arial" w:hAnsi="Arial"/>
        <w:b/>
        <w:color w:val="ffffff"/>
        <w:sz w:val="22"/>
      </w:rPr>
      <w:pPr>
        <w:pBdr/>
        <w:spacing/>
        <w:ind/>
      </w:pPr>
      <w:tblPr>
        <w:tblBorders/>
      </w:tblPr>
      <w:tcPr>
        <w:shd w:val="clear" w:color="ffffff" w:themeColor="accent1" w:fill="f0a22e"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9">
    <w:name w:val="Grid Table 5 Dark - Accent 2"/>
    <w:basedOn w:val="15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eee0db" w:themeFill="accent2" w:themeFillTint="32"/>
    </w:tblPr>
    <w:tcPr>
      <w:tcBorders/>
    </w:tcPr>
    <w:tblStylePr w:type="band1Horz">
      <w:pPr>
        <w:pBdr/>
        <w:spacing/>
        <w:ind/>
      </w:pPr>
      <w:tblPr>
        <w:tblBorders/>
      </w:tblPr>
      <w:tcPr>
        <w:shd w:val="clear" w:color="ffffff" w:themeColor="accent2" w:themeTint="75" w:fill="d8b7ac" w:themeFill="accent2" w:themeFillTint="75"/>
        <w:tcBorders/>
      </w:tcPr>
    </w:tblStylePr>
    <w:tblStylePr w:type="band1Vert">
      <w:pPr>
        <w:pBdr/>
        <w:spacing/>
        <w:ind/>
      </w:pPr>
      <w:tblPr>
        <w:tblBorders/>
      </w:tblPr>
      <w:tcPr>
        <w:shd w:val="clear" w:color="ffffff" w:themeColor="accent2" w:themeTint="75" w:fill="d8b7a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a5644e" w:themeFill="accent2"/>
        <w:tcBorders/>
      </w:tcPr>
    </w:tblStylePr>
    <w:tblStylePr w:type="firstRow">
      <w:rPr>
        <w:rFonts w:ascii="Arial" w:hAnsi="Arial"/>
        <w:b/>
        <w:color w:val="ffffff"/>
        <w:sz w:val="22"/>
      </w:rPr>
      <w:pPr>
        <w:pBdr/>
        <w:spacing/>
        <w:ind/>
      </w:pPr>
      <w:tblPr>
        <w:tblBorders/>
      </w:tblPr>
      <w:tcPr>
        <w:shd w:val="clear" w:color="ffffff" w:themeColor="accent2" w:fill="a5644e" w:themeFill="accent2"/>
        <w:tcBorders/>
      </w:tcPr>
    </w:tblStylePr>
    <w:tblStylePr w:type="lastCol">
      <w:rPr>
        <w:rFonts w:ascii="Arial" w:hAnsi="Arial"/>
        <w:b/>
        <w:color w:val="ffffff"/>
        <w:sz w:val="22"/>
      </w:rPr>
      <w:pPr>
        <w:pBdr/>
        <w:spacing/>
        <w:ind/>
      </w:pPr>
      <w:tblPr>
        <w:tblBorders/>
      </w:tblPr>
      <w:tcPr>
        <w:shd w:val="clear" w:color="ffffff" w:themeColor="accent2" w:fill="a5644e" w:themeFill="accent2"/>
        <w:tcBorders/>
      </w:tcPr>
    </w:tblStylePr>
    <w:tblStylePr w:type="lastRow">
      <w:rPr>
        <w:rFonts w:ascii="Arial" w:hAnsi="Arial"/>
        <w:b/>
        <w:color w:val="ffffff"/>
        <w:sz w:val="22"/>
      </w:rPr>
      <w:pPr>
        <w:pBdr/>
        <w:spacing/>
        <w:ind/>
      </w:pPr>
      <w:tblPr>
        <w:tblBorders/>
      </w:tblPr>
      <w:tcPr>
        <w:shd w:val="clear" w:color="ffffff" w:themeColor="accent2" w:fill="a5644e"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0">
    <w:name w:val="Grid Table 5 Dark - Accent 3"/>
    <w:basedOn w:val="15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0e7e5" w:themeFill="accent3" w:themeFillTint="34"/>
    </w:tblPr>
    <w:tcPr>
      <w:tcBorders/>
    </w:tcPr>
    <w:tblStylePr w:type="band1Horz">
      <w:pPr>
        <w:pBdr/>
        <w:spacing/>
        <w:ind/>
      </w:pPr>
      <w:tblPr>
        <w:tblBorders/>
      </w:tblPr>
      <w:tcPr>
        <w:shd w:val="clear" w:color="ffffff" w:themeColor="accent3" w:themeTint="75" w:fill="ddcac5" w:themeFill="accent3" w:themeFillTint="75"/>
        <w:tcBorders/>
      </w:tcPr>
    </w:tblStylePr>
    <w:tblStylePr w:type="band1Vert">
      <w:pPr>
        <w:pBdr/>
        <w:spacing/>
        <w:ind/>
      </w:pPr>
      <w:tblPr>
        <w:tblBorders/>
      </w:tblPr>
      <w:tcPr>
        <w:shd w:val="clear" w:color="ffffff" w:themeColor="accent3" w:themeTint="75" w:fill="ddcac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b58b80" w:themeFill="accent3"/>
        <w:tcBorders/>
      </w:tcPr>
    </w:tblStylePr>
    <w:tblStylePr w:type="firstRow">
      <w:rPr>
        <w:rFonts w:ascii="Arial" w:hAnsi="Arial"/>
        <w:b/>
        <w:color w:val="ffffff"/>
        <w:sz w:val="22"/>
      </w:rPr>
      <w:pPr>
        <w:pBdr/>
        <w:spacing/>
        <w:ind/>
      </w:pPr>
      <w:tblPr>
        <w:tblBorders/>
      </w:tblPr>
      <w:tcPr>
        <w:shd w:val="clear" w:color="ffffff" w:themeColor="accent3" w:fill="b58b80" w:themeFill="accent3"/>
        <w:tcBorders/>
      </w:tcPr>
    </w:tblStylePr>
    <w:tblStylePr w:type="lastCol">
      <w:rPr>
        <w:rFonts w:ascii="Arial" w:hAnsi="Arial"/>
        <w:b/>
        <w:color w:val="ffffff"/>
        <w:sz w:val="22"/>
      </w:rPr>
      <w:pPr>
        <w:pBdr/>
        <w:spacing/>
        <w:ind/>
      </w:pPr>
      <w:tblPr>
        <w:tblBorders/>
      </w:tblPr>
      <w:tcPr>
        <w:shd w:val="clear" w:color="ffffff" w:themeColor="accent3" w:fill="b58b80" w:themeFill="accent3"/>
        <w:tcBorders/>
      </w:tcPr>
    </w:tblStylePr>
    <w:tblStylePr w:type="lastRow">
      <w:rPr>
        <w:rFonts w:ascii="Arial" w:hAnsi="Arial"/>
        <w:b/>
        <w:color w:val="ffffff"/>
        <w:sz w:val="22"/>
      </w:rPr>
      <w:pPr>
        <w:pBdr/>
        <w:spacing/>
        <w:ind/>
      </w:pPr>
      <w:tblPr>
        <w:tblBorders/>
      </w:tblPr>
      <w:tcPr>
        <w:shd w:val="clear" w:color="ffffff" w:themeColor="accent3" w:fill="b58b80"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1">
    <w:name w:val="Grid Table 5 Dark- Accent 4"/>
    <w:basedOn w:val="15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3eae1" w:themeFill="accent4" w:themeFillTint="34"/>
    </w:tblPr>
    <w:tcPr>
      <w:tcBorders/>
    </w:tcPr>
    <w:tblStylePr w:type="band1Horz">
      <w:pPr>
        <w:pBdr/>
        <w:spacing/>
        <w:ind/>
      </w:pPr>
      <w:tblPr>
        <w:tblBorders/>
      </w:tblPr>
      <w:tcPr>
        <w:shd w:val="clear" w:color="ffffff" w:themeColor="accent4" w:themeTint="75" w:fill="e3d0bc" w:themeFill="accent4" w:themeFillTint="75"/>
        <w:tcBorders/>
      </w:tcPr>
    </w:tblStylePr>
    <w:tblStylePr w:type="band1Vert">
      <w:pPr>
        <w:pBdr/>
        <w:spacing/>
        <w:ind/>
      </w:pPr>
      <w:tblPr>
        <w:tblBorders/>
      </w:tblPr>
      <w:tcPr>
        <w:shd w:val="clear" w:color="ffffff" w:themeColor="accent4" w:themeTint="75" w:fill="e3d0b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c3986d" w:themeFill="accent4"/>
        <w:tcBorders/>
      </w:tcPr>
    </w:tblStylePr>
    <w:tblStylePr w:type="firstRow">
      <w:rPr>
        <w:rFonts w:ascii="Arial" w:hAnsi="Arial"/>
        <w:b/>
        <w:color w:val="ffffff"/>
        <w:sz w:val="22"/>
      </w:rPr>
      <w:pPr>
        <w:pBdr/>
        <w:spacing/>
        <w:ind/>
      </w:pPr>
      <w:tblPr>
        <w:tblBorders/>
      </w:tblPr>
      <w:tcPr>
        <w:shd w:val="clear" w:color="ffffff" w:themeColor="accent4" w:fill="c3986d" w:themeFill="accent4"/>
        <w:tcBorders/>
      </w:tcPr>
    </w:tblStylePr>
    <w:tblStylePr w:type="lastCol">
      <w:rPr>
        <w:rFonts w:ascii="Arial" w:hAnsi="Arial"/>
        <w:b/>
        <w:color w:val="ffffff"/>
        <w:sz w:val="22"/>
      </w:rPr>
      <w:pPr>
        <w:pBdr/>
        <w:spacing/>
        <w:ind/>
      </w:pPr>
      <w:tblPr>
        <w:tblBorders/>
      </w:tblPr>
      <w:tcPr>
        <w:shd w:val="clear" w:color="ffffff" w:themeColor="accent4" w:fill="c3986d" w:themeFill="accent4"/>
        <w:tcBorders/>
      </w:tcPr>
    </w:tblStylePr>
    <w:tblStylePr w:type="lastRow">
      <w:rPr>
        <w:rFonts w:ascii="Arial" w:hAnsi="Arial"/>
        <w:b/>
        <w:color w:val="ffffff"/>
        <w:sz w:val="22"/>
      </w:rPr>
      <w:pPr>
        <w:pBdr/>
        <w:spacing/>
        <w:ind/>
      </w:pPr>
      <w:tblPr>
        <w:tblBorders/>
      </w:tblPr>
      <w:tcPr>
        <w:shd w:val="clear" w:color="ffffff" w:themeColor="accent4" w:fill="c3986d"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2">
    <w:name w:val="Grid Table 5 Dark - Accent 5"/>
    <w:basedOn w:val="15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ece9e3" w:themeFill="accent5" w:themeFillTint="34"/>
    </w:tblPr>
    <w:tcPr>
      <w:tcBorders/>
    </w:tcPr>
    <w:tblStylePr w:type="band1Horz">
      <w:pPr>
        <w:pBdr/>
        <w:spacing/>
        <w:ind/>
      </w:pPr>
      <w:tblPr>
        <w:tblBorders/>
      </w:tblPr>
      <w:tcPr>
        <w:shd w:val="clear" w:color="ffffff" w:themeColor="accent5" w:themeTint="75" w:fill="d4cebf" w:themeFill="accent5" w:themeFillTint="75"/>
        <w:tcBorders/>
      </w:tcPr>
    </w:tblStylePr>
    <w:tblStylePr w:type="band1Vert">
      <w:pPr>
        <w:pBdr/>
        <w:spacing/>
        <w:ind/>
      </w:pPr>
      <w:tblPr>
        <w:tblBorders/>
      </w:tblPr>
      <w:tcPr>
        <w:shd w:val="clear" w:color="ffffff" w:themeColor="accent5" w:themeTint="75" w:fill="d4cebf"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19574" w:themeFill="accent5"/>
        <w:tcBorders/>
      </w:tcPr>
    </w:tblStylePr>
    <w:tblStylePr w:type="firstRow">
      <w:rPr>
        <w:rFonts w:ascii="Arial" w:hAnsi="Arial"/>
        <w:b/>
        <w:color w:val="ffffff"/>
        <w:sz w:val="22"/>
      </w:rPr>
      <w:pPr>
        <w:pBdr/>
        <w:spacing/>
        <w:ind/>
      </w:pPr>
      <w:tblPr>
        <w:tblBorders/>
      </w:tblPr>
      <w:tcPr>
        <w:shd w:val="clear" w:color="ffffff" w:themeColor="accent5" w:fill="a19574" w:themeFill="accent5"/>
        <w:tcBorders/>
      </w:tcPr>
    </w:tblStylePr>
    <w:tblStylePr w:type="lastCol">
      <w:rPr>
        <w:rFonts w:ascii="Arial" w:hAnsi="Arial"/>
        <w:b/>
        <w:color w:val="ffffff"/>
        <w:sz w:val="22"/>
      </w:rPr>
      <w:pPr>
        <w:pBdr/>
        <w:spacing/>
        <w:ind/>
      </w:pPr>
      <w:tblPr>
        <w:tblBorders/>
      </w:tblPr>
      <w:tcPr>
        <w:shd w:val="clear" w:color="ffffff" w:themeColor="accent5" w:fill="a19574" w:themeFill="accent5"/>
        <w:tcBorders/>
      </w:tcPr>
    </w:tblStylePr>
    <w:tblStylePr w:type="lastRow">
      <w:rPr>
        <w:rFonts w:ascii="Arial" w:hAnsi="Arial"/>
        <w:b/>
        <w:color w:val="ffffff"/>
        <w:sz w:val="22"/>
      </w:rPr>
      <w:pPr>
        <w:pBdr/>
        <w:spacing/>
        <w:ind/>
      </w:pPr>
      <w:tblPr>
        <w:tblBorders/>
      </w:tblPr>
      <w:tcPr>
        <w:shd w:val="clear" w:color="ffffff" w:themeColor="accent5" w:fill="a1957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3">
    <w:name w:val="Grid Table 5 Dark - Accent 6"/>
    <w:basedOn w:val="15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5e3d1" w:themeFill="accent6" w:themeFillTint="34"/>
    </w:tblPr>
    <w:tcPr>
      <w:tcBorders/>
    </w:tcPr>
    <w:tblStylePr w:type="band1Horz">
      <w:pPr>
        <w:pBdr/>
        <w:spacing/>
        <w:ind/>
      </w:pPr>
      <w:tblPr>
        <w:tblBorders/>
      </w:tblPr>
      <w:tcPr>
        <w:shd w:val="clear" w:color="ffffff" w:themeColor="accent6" w:themeTint="75" w:fill="e9c097" w:themeFill="accent6" w:themeFillTint="75"/>
        <w:tcBorders/>
      </w:tcPr>
    </w:tblStylePr>
    <w:tblStylePr w:type="band1Vert">
      <w:pPr>
        <w:pBdr/>
        <w:spacing/>
        <w:ind/>
      </w:pPr>
      <w:tblPr>
        <w:tblBorders/>
      </w:tblPr>
      <w:tcPr>
        <w:shd w:val="clear" w:color="ffffff" w:themeColor="accent6" w:themeTint="75" w:fill="e9c097"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17529" w:themeFill="accent6"/>
        <w:tcBorders/>
      </w:tcPr>
    </w:tblStylePr>
    <w:tblStylePr w:type="firstRow">
      <w:rPr>
        <w:rFonts w:ascii="Arial" w:hAnsi="Arial"/>
        <w:b/>
        <w:color w:val="ffffff"/>
        <w:sz w:val="22"/>
      </w:rPr>
      <w:pPr>
        <w:pBdr/>
        <w:spacing/>
        <w:ind/>
      </w:pPr>
      <w:tblPr>
        <w:tblBorders/>
      </w:tblPr>
      <w:tcPr>
        <w:shd w:val="clear" w:color="ffffff" w:themeColor="accent6" w:fill="c17529" w:themeFill="accent6"/>
        <w:tcBorders/>
      </w:tcPr>
    </w:tblStylePr>
    <w:tblStylePr w:type="lastCol">
      <w:rPr>
        <w:rFonts w:ascii="Arial" w:hAnsi="Arial"/>
        <w:b/>
        <w:color w:val="ffffff"/>
        <w:sz w:val="22"/>
      </w:rPr>
      <w:pPr>
        <w:pBdr/>
        <w:spacing/>
        <w:ind/>
      </w:pPr>
      <w:tblPr>
        <w:tblBorders/>
      </w:tblPr>
      <w:tcPr>
        <w:shd w:val="clear" w:color="ffffff" w:themeColor="accent6" w:fill="c17529" w:themeFill="accent6"/>
        <w:tcBorders/>
      </w:tcPr>
    </w:tblStylePr>
    <w:tblStylePr w:type="lastRow">
      <w:rPr>
        <w:rFonts w:ascii="Arial" w:hAnsi="Arial"/>
        <w:b/>
        <w:color w:val="ffffff"/>
        <w:sz w:val="22"/>
      </w:rPr>
      <w:pPr>
        <w:pBdr/>
        <w:spacing/>
        <w:ind/>
      </w:pPr>
      <w:tblPr>
        <w:tblBorders/>
      </w:tblPr>
      <w:tcPr>
        <w:shd w:val="clear" w:color="ffffff" w:themeColor="accent6" w:fill="c17529"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4">
    <w:name w:val="Grid Table 6 Colorful"/>
    <w:basedOn w:val="15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555">
    <w:name w:val="Grid Table 6 Colorful - Accent 1"/>
    <w:basedOn w:val="15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fcecd4" w:themeFill="accent1" w:themeFillTint="34"/>
        <w:tcBorders/>
      </w:tcPr>
    </w:tblStylePr>
    <w:tblStylePr w:type="band1Vert">
      <w:pPr>
        <w:pBdr/>
        <w:spacing/>
        <w:ind/>
      </w:pPr>
      <w:tblPr>
        <w:tblBorders/>
      </w:tblPr>
      <w:tcPr>
        <w:shd w:val="clear" w:color="ffffff" w:themeColor="accent1" w:themeTint="34" w:fill="fcecd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8810" w:themeColor="accent1" w:themeTint="80" w:themeShade="95"/>
      </w:rPr>
      <w:pPr>
        <w:pBdr/>
        <w:spacing/>
        <w:ind/>
      </w:pPr>
      <w:tblPr>
        <w:tblBorders/>
      </w:tblPr>
      <w:tcPr>
        <w:tcBorders/>
      </w:tcPr>
    </w:tblStylePr>
    <w:tblStylePr w:type="firstRow">
      <w:rPr>
        <w:b/>
        <w:color w:val="d98810" w:themeColor="accent1" w:themeTint="80" w:themeShade="95"/>
      </w:rPr>
      <w:pPr>
        <w:pBdr/>
        <w:spacing/>
        <w:ind/>
      </w:pPr>
      <w:tblPr>
        <w:tblBorders/>
      </w:tblPr>
      <w:tcPr>
        <w:tcBorders>
          <w:bottom w:val="single" w:color="000000" w:themeColor="accent1" w:themeTint="80" w:sz="12" w:space="0"/>
        </w:tcBorders>
      </w:tcPr>
    </w:tblStylePr>
    <w:tblStylePr w:type="lastCol">
      <w:rPr>
        <w:b/>
        <w:color w:val="d98810" w:themeColor="accent1" w:themeTint="80" w:themeShade="95"/>
      </w:rPr>
      <w:pPr>
        <w:pBdr/>
        <w:spacing/>
        <w:ind/>
      </w:pPr>
      <w:tblPr>
        <w:tblBorders/>
      </w:tblPr>
      <w:tcPr>
        <w:tcBorders/>
      </w:tcPr>
    </w:tblStylePr>
    <w:tblStylePr w:type="lastRow">
      <w:rPr>
        <w:b/>
        <w:color w:val="d98810"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556">
    <w:name w:val="Grid Table 6 Colorful - Accent 2"/>
    <w:basedOn w:val="15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eee0db" w:themeFill="accent2" w:themeFillTint="32"/>
        <w:tcBorders/>
      </w:tcPr>
    </w:tblStylePr>
    <w:tblStylePr w:type="band1Vert">
      <w:pPr>
        <w:pBdr/>
        <w:spacing/>
        <w:ind/>
      </w:pPr>
      <w:tblPr>
        <w:tblBorders/>
      </w:tblPr>
      <w:tcPr>
        <w:shd w:val="clear" w:color="ffffff" w:themeColor="accent2" w:themeTint="32" w:fill="eee0db"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c5542" w:themeColor="accent2" w:themeTint="97" w:themeShade="95"/>
      </w:rPr>
      <w:pPr>
        <w:pBdr/>
        <w:spacing/>
        <w:ind/>
      </w:pPr>
      <w:tblPr>
        <w:tblBorders/>
      </w:tblPr>
      <w:tcPr>
        <w:tcBorders/>
      </w:tcPr>
    </w:tblStylePr>
    <w:tblStylePr w:type="firstRow">
      <w:rPr>
        <w:b/>
        <w:color w:val="8c5542" w:themeColor="accent2" w:themeTint="97" w:themeShade="95"/>
      </w:rPr>
      <w:pPr>
        <w:pBdr/>
        <w:spacing/>
        <w:ind/>
      </w:pPr>
      <w:tblPr>
        <w:tblBorders/>
      </w:tblPr>
      <w:tcPr>
        <w:tcBorders>
          <w:bottom w:val="single" w:color="000000" w:themeColor="accent2" w:themeTint="97" w:sz="12" w:space="0"/>
        </w:tcBorders>
      </w:tcPr>
    </w:tblStylePr>
    <w:tblStylePr w:type="lastCol">
      <w:rPr>
        <w:b/>
        <w:color w:val="8c5542" w:themeColor="accent2" w:themeTint="97" w:themeShade="95"/>
      </w:rPr>
      <w:pPr>
        <w:pBdr/>
        <w:spacing/>
        <w:ind/>
      </w:pPr>
      <w:tblPr>
        <w:tblBorders/>
      </w:tblPr>
      <w:tcPr>
        <w:tcBorders/>
      </w:tcPr>
    </w:tblStylePr>
    <w:tblStylePr w:type="lastRow">
      <w:rPr>
        <w:b/>
        <w:color w:val="8c554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557">
    <w:name w:val="Grid Table 6 Colorful - Accent 3"/>
    <w:basedOn w:val="15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0e7e5" w:themeFill="accent3" w:themeFillTint="34"/>
        <w:tcBorders/>
      </w:tcPr>
    </w:tblStylePr>
    <w:tblStylePr w:type="band1Vert">
      <w:pPr>
        <w:pBdr/>
        <w:spacing/>
        <w:ind/>
      </w:pPr>
      <w:tblPr>
        <w:tblBorders/>
      </w:tblPr>
      <w:tcPr>
        <w:shd w:val="clear" w:color="ffffff" w:themeColor="accent3" w:themeTint="34" w:fill="f0e7e5"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24d43" w:themeColor="accent3" w:themeTint="FE" w:themeShade="95"/>
      </w:rPr>
      <w:pPr>
        <w:pBdr/>
        <w:spacing/>
        <w:ind/>
      </w:pPr>
      <w:tblPr>
        <w:tblBorders/>
      </w:tblPr>
      <w:tcPr>
        <w:tcBorders/>
      </w:tcPr>
    </w:tblStylePr>
    <w:tblStylePr w:type="firstRow">
      <w:rPr>
        <w:b/>
        <w:color w:val="724d43" w:themeColor="accent3" w:themeTint="FE" w:themeShade="95"/>
      </w:rPr>
      <w:pPr>
        <w:pBdr/>
        <w:spacing/>
        <w:ind/>
      </w:pPr>
      <w:tblPr>
        <w:tblBorders/>
      </w:tblPr>
      <w:tcPr>
        <w:tcBorders>
          <w:bottom w:val="single" w:color="000000" w:themeColor="accent3" w:themeTint="FE" w:sz="12" w:space="0"/>
        </w:tcBorders>
      </w:tcPr>
    </w:tblStylePr>
    <w:tblStylePr w:type="lastCol">
      <w:rPr>
        <w:b/>
        <w:color w:val="724d43" w:themeColor="accent3" w:themeTint="FE" w:themeShade="95"/>
      </w:rPr>
      <w:pPr>
        <w:pBdr/>
        <w:spacing/>
        <w:ind/>
      </w:pPr>
      <w:tblPr>
        <w:tblBorders/>
      </w:tblPr>
      <w:tcPr>
        <w:tcBorders/>
      </w:tcPr>
    </w:tblStylePr>
    <w:tblStylePr w:type="lastRow">
      <w:rPr>
        <w:b/>
        <w:color w:val="724d43"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558">
    <w:name w:val="Grid Table 6 Colorful - Accent 4"/>
    <w:basedOn w:val="15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3eae1" w:themeFill="accent4" w:themeFillTint="34"/>
        <w:tcBorders/>
      </w:tcPr>
    </w:tblStylePr>
    <w:tblStylePr w:type="band1Vert">
      <w:pPr>
        <w:pBdr/>
        <w:spacing/>
        <w:ind/>
      </w:pPr>
      <w:tblPr>
        <w:tblBorders/>
      </w:tblPr>
      <w:tcPr>
        <w:shd w:val="clear" w:color="ffffff" w:themeColor="accent4" w:themeTint="34" w:fill="f3eae1"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7142" w:themeColor="accent4" w:themeTint="9A" w:themeShade="95"/>
      </w:rPr>
      <w:pPr>
        <w:pBdr/>
        <w:spacing/>
        <w:ind/>
      </w:pPr>
      <w:tblPr>
        <w:tblBorders/>
      </w:tblPr>
      <w:tcPr>
        <w:tcBorders/>
      </w:tcPr>
    </w:tblStylePr>
    <w:tblStylePr w:type="firstRow">
      <w:rPr>
        <w:b/>
        <w:color w:val="a07142" w:themeColor="accent4" w:themeTint="9A" w:themeShade="95"/>
      </w:rPr>
      <w:pPr>
        <w:pBdr/>
        <w:spacing/>
        <w:ind/>
      </w:pPr>
      <w:tblPr>
        <w:tblBorders/>
      </w:tblPr>
      <w:tcPr>
        <w:tcBorders>
          <w:bottom w:val="single" w:color="000000" w:themeColor="accent4" w:themeTint="9A" w:sz="12" w:space="0"/>
        </w:tcBorders>
      </w:tcPr>
    </w:tblStylePr>
    <w:tblStylePr w:type="lastCol">
      <w:rPr>
        <w:b/>
        <w:color w:val="a07142" w:themeColor="accent4" w:themeTint="9A" w:themeShade="95"/>
      </w:rPr>
      <w:pPr>
        <w:pBdr/>
        <w:spacing/>
        <w:ind/>
      </w:pPr>
      <w:tblPr>
        <w:tblBorders/>
      </w:tblPr>
      <w:tcPr>
        <w:tcBorders/>
      </w:tcPr>
    </w:tblStylePr>
    <w:tblStylePr w:type="lastRow">
      <w:rPr>
        <w:b/>
        <w:color w:val="a07142"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559">
    <w:name w:val="Grid Table 6 Colorful - Accent 5"/>
    <w:basedOn w:val="15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ece9e3" w:themeFill="accent5" w:themeFillTint="34"/>
        <w:tcBorders/>
      </w:tcPr>
    </w:tblStylePr>
    <w:tblStylePr w:type="band1Vert">
      <w:pPr>
        <w:pBdr/>
        <w:spacing/>
        <w:ind/>
      </w:pPr>
      <w:tblPr>
        <w:tblBorders/>
      </w:tblPr>
      <w:tcPr>
        <w:shd w:val="clear" w:color="ffffff" w:themeColor="accent5" w:themeTint="34" w:fill="ece9e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5841" w:themeColor="accent5" w:themeShade="95"/>
      </w:rPr>
      <w:pPr>
        <w:pBdr/>
        <w:spacing/>
        <w:ind/>
      </w:pPr>
      <w:tblPr>
        <w:tblBorders/>
      </w:tblPr>
      <w:tcPr>
        <w:tcBorders/>
      </w:tcPr>
    </w:tblStylePr>
    <w:tblStylePr w:type="firstRow">
      <w:rPr>
        <w:b/>
        <w:color w:val="615841" w:themeColor="accent5" w:themeShade="95"/>
      </w:rPr>
      <w:pPr>
        <w:pBdr/>
        <w:spacing/>
        <w:ind/>
      </w:pPr>
      <w:tblPr>
        <w:tblBorders/>
      </w:tblPr>
      <w:tcPr>
        <w:tcBorders>
          <w:bottom w:val="single" w:color="000000" w:themeColor="accent5" w:sz="12" w:space="0"/>
        </w:tcBorders>
      </w:tcPr>
    </w:tblStylePr>
    <w:tblStylePr w:type="lastCol">
      <w:rPr>
        <w:b/>
        <w:color w:val="615841" w:themeColor="accent5" w:themeShade="95"/>
      </w:rPr>
      <w:pPr>
        <w:pBdr/>
        <w:spacing/>
        <w:ind/>
      </w:pPr>
      <w:tblPr>
        <w:tblBorders/>
      </w:tblPr>
      <w:tcPr>
        <w:tcBorders/>
      </w:tcPr>
    </w:tblStylePr>
    <w:tblStylePr w:type="lastRow">
      <w:rPr>
        <w:b/>
        <w:color w:val="615841"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60">
    <w:name w:val="Grid Table 6 Colorful - Accent 6"/>
    <w:basedOn w:val="15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5e3d1" w:themeFill="accent6" w:themeFillTint="34"/>
        <w:tcBorders/>
      </w:tcPr>
    </w:tblStylePr>
    <w:tblStylePr w:type="band1Vert">
      <w:pPr>
        <w:pBdr/>
        <w:spacing/>
        <w:ind/>
      </w:pPr>
      <w:tblPr>
        <w:tblBorders/>
      </w:tblPr>
      <w:tcPr>
        <w:shd w:val="clear" w:color="ffffff" w:themeColor="accent6" w:themeTint="34" w:fill="f5e3d1"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5841" w:themeColor="accent5" w:themeShade="95"/>
      </w:rPr>
      <w:pPr>
        <w:pBdr/>
        <w:spacing/>
        <w:ind/>
      </w:pPr>
      <w:tblPr>
        <w:tblBorders/>
      </w:tblPr>
      <w:tcPr>
        <w:tcBorders/>
      </w:tcPr>
    </w:tblStylePr>
    <w:tblStylePr w:type="firstRow">
      <w:rPr>
        <w:b/>
        <w:color w:val="615841" w:themeColor="accent5" w:themeShade="95"/>
      </w:rPr>
      <w:pPr>
        <w:pBdr/>
        <w:spacing/>
        <w:ind/>
      </w:pPr>
      <w:tblPr>
        <w:tblBorders/>
      </w:tblPr>
      <w:tcPr>
        <w:tcBorders>
          <w:bottom w:val="single" w:color="000000" w:themeColor="accent6" w:sz="12" w:space="0"/>
        </w:tcBorders>
      </w:tcPr>
    </w:tblStylePr>
    <w:tblStylePr w:type="lastCol">
      <w:rPr>
        <w:b/>
        <w:color w:val="615841" w:themeColor="accent5" w:themeShade="95"/>
      </w:rPr>
      <w:pPr>
        <w:pBdr/>
        <w:spacing/>
        <w:ind/>
      </w:pPr>
      <w:tblPr>
        <w:tblBorders/>
      </w:tblPr>
      <w:tcPr>
        <w:tcBorders/>
      </w:tcPr>
    </w:tblStylePr>
    <w:tblStylePr w:type="lastRow">
      <w:rPr>
        <w:b/>
        <w:color w:val="615841"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561">
    <w:name w:val="Grid Table 7 Colorful"/>
    <w:basedOn w:val="15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2">
    <w:name w:val="Grid Table 7 Colorful - Accent 1"/>
    <w:basedOn w:val="15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d98810" w:themeColor="accent1" w:themeTint="80" w:themeShade="95"/>
        <w:sz w:val="22"/>
      </w:rPr>
      <w:pPr>
        <w:pBdr/>
        <w:spacing/>
        <w:ind/>
      </w:pPr>
      <w:tblPr>
        <w:tblBorders/>
      </w:tblPr>
      <w:tcPr>
        <w:shd w:val="clear" w:color="ffffff" w:themeColor="accent1" w:themeTint="34" w:fill="fcecd4" w:themeFill="accent1" w:themeFillTint="34"/>
        <w:tcBorders/>
      </w:tcPr>
    </w:tblStylePr>
    <w:tblStylePr w:type="band1Vert">
      <w:pPr>
        <w:pBdr/>
        <w:spacing/>
        <w:ind/>
      </w:pPr>
      <w:tblPr>
        <w:tblBorders/>
      </w:tblPr>
      <w:tcPr>
        <w:shd w:val="clear" w:color="ffffff" w:themeColor="accent1" w:themeTint="34" w:fill="fcecd4" w:themeFill="accent1" w:themeFillTint="34"/>
        <w:tcBorders/>
      </w:tcPr>
    </w:tblStylePr>
    <w:tblStylePr w:type="band2Horz">
      <w:rPr>
        <w:rFonts w:ascii="Arial" w:hAnsi="Arial"/>
        <w:color w:val="d9881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8810"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d98810"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d98810"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d98810"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3">
    <w:name w:val="Grid Table 7 Colorful - Accent 2"/>
    <w:basedOn w:val="15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8c5542" w:themeColor="accent2" w:themeTint="97" w:themeShade="95"/>
        <w:sz w:val="22"/>
      </w:rPr>
      <w:pPr>
        <w:pBdr/>
        <w:spacing/>
        <w:ind/>
      </w:pPr>
      <w:tblPr>
        <w:tblBorders/>
      </w:tblPr>
      <w:tcPr>
        <w:shd w:val="clear" w:color="ffffff" w:themeColor="accent2" w:themeTint="32" w:fill="eee0db" w:themeFill="accent2" w:themeFillTint="32"/>
        <w:tcBorders/>
      </w:tcPr>
    </w:tblStylePr>
    <w:tblStylePr w:type="band1Vert">
      <w:pPr>
        <w:pBdr/>
        <w:spacing/>
        <w:ind/>
      </w:pPr>
      <w:tblPr>
        <w:tblBorders/>
      </w:tblPr>
      <w:tcPr>
        <w:shd w:val="clear" w:color="ffffff" w:themeColor="accent2" w:themeTint="32" w:fill="eee0db" w:themeFill="accent2" w:themeFillTint="32"/>
        <w:tcBorders/>
      </w:tcPr>
    </w:tblStylePr>
    <w:tblStylePr w:type="band2Horz">
      <w:rPr>
        <w:rFonts w:ascii="Arial" w:hAnsi="Arial"/>
        <w:color w:val="8c554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c554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8c554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8c554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8c554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4">
    <w:name w:val="Grid Table 7 Colorful - Accent 3"/>
    <w:basedOn w:val="15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724d43" w:themeColor="accent3" w:themeTint="FE" w:themeShade="95"/>
        <w:sz w:val="22"/>
      </w:rPr>
      <w:pPr>
        <w:pBdr/>
        <w:spacing/>
        <w:ind/>
      </w:pPr>
      <w:tblPr>
        <w:tblBorders/>
      </w:tblPr>
      <w:tcPr>
        <w:shd w:val="clear" w:color="ffffff" w:themeColor="accent3" w:themeTint="34" w:fill="f0e7e5" w:themeFill="accent3" w:themeFillTint="34"/>
        <w:tcBorders/>
      </w:tcPr>
    </w:tblStylePr>
    <w:tblStylePr w:type="band1Vert">
      <w:pPr>
        <w:pBdr/>
        <w:spacing/>
        <w:ind/>
      </w:pPr>
      <w:tblPr>
        <w:tblBorders/>
      </w:tblPr>
      <w:tcPr>
        <w:shd w:val="clear" w:color="ffffff" w:themeColor="accent3" w:themeTint="34" w:fill="f0e7e5" w:themeFill="accent3" w:themeFillTint="34"/>
        <w:tcBorders/>
      </w:tcPr>
    </w:tblStylePr>
    <w:tblStylePr w:type="band2Horz">
      <w:rPr>
        <w:rFonts w:ascii="Arial" w:hAnsi="Arial"/>
        <w:color w:val="724d43"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24d43"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724d43"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724d43"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724d43"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5">
    <w:name w:val="Grid Table 7 Colorful - Accent 4"/>
    <w:basedOn w:val="15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a07142" w:themeColor="accent4" w:themeTint="9A" w:themeShade="95"/>
        <w:sz w:val="22"/>
      </w:rPr>
      <w:pPr>
        <w:pBdr/>
        <w:spacing/>
        <w:ind/>
      </w:pPr>
      <w:tblPr>
        <w:tblBorders/>
      </w:tblPr>
      <w:tcPr>
        <w:shd w:val="clear" w:color="ffffff" w:themeColor="accent4" w:themeTint="34" w:fill="f3eae1" w:themeFill="accent4" w:themeFillTint="34"/>
        <w:tcBorders/>
      </w:tcPr>
    </w:tblStylePr>
    <w:tblStylePr w:type="band1Vert">
      <w:pPr>
        <w:pBdr/>
        <w:spacing/>
        <w:ind/>
      </w:pPr>
      <w:tblPr>
        <w:tblBorders/>
      </w:tblPr>
      <w:tcPr>
        <w:shd w:val="clear" w:color="ffffff" w:themeColor="accent4" w:themeTint="34" w:fill="f3eae1" w:themeFill="accent4" w:themeFillTint="34"/>
        <w:tcBorders/>
      </w:tcPr>
    </w:tblStylePr>
    <w:tblStylePr w:type="band2Horz">
      <w:rPr>
        <w:rFonts w:ascii="Arial" w:hAnsi="Arial"/>
        <w:color w:val="a0714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714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a07142"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a0714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a07142"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6">
    <w:name w:val="Grid Table 7 Colorful - Accent 5"/>
    <w:basedOn w:val="15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615841" w:themeColor="accent5" w:themeShade="95"/>
        <w:sz w:val="22"/>
      </w:rPr>
      <w:pPr>
        <w:pBdr/>
        <w:spacing/>
        <w:ind/>
      </w:pPr>
      <w:tblPr>
        <w:tblBorders/>
      </w:tblPr>
      <w:tcPr>
        <w:shd w:val="clear" w:color="ffffff" w:themeColor="accent5" w:themeTint="34" w:fill="ece9e3" w:themeFill="accent5" w:themeFillTint="34"/>
        <w:tcBorders/>
      </w:tcPr>
    </w:tblStylePr>
    <w:tblStylePr w:type="band1Vert">
      <w:pPr>
        <w:pBdr/>
        <w:spacing/>
        <w:ind/>
      </w:pPr>
      <w:tblPr>
        <w:tblBorders/>
      </w:tblPr>
      <w:tcPr>
        <w:shd w:val="clear" w:color="ffffff" w:themeColor="accent5" w:themeTint="34" w:fill="ece9e3" w:themeFill="accent5" w:themeFillTint="34"/>
        <w:tcBorders/>
      </w:tcPr>
    </w:tblStylePr>
    <w:tblStylePr w:type="band2Horz">
      <w:rPr>
        <w:rFonts w:ascii="Arial" w:hAnsi="Arial"/>
        <w:color w:val="615841"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5841"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615841"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615841"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615841"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7">
    <w:name w:val="Grid Table 7 Colorful - Accent 6"/>
    <w:basedOn w:val="15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14418" w:themeColor="accent6" w:themeShade="95"/>
        <w:sz w:val="22"/>
      </w:rPr>
      <w:pPr>
        <w:pBdr/>
        <w:spacing/>
        <w:ind/>
      </w:pPr>
      <w:tblPr>
        <w:tblBorders/>
      </w:tblPr>
      <w:tcPr>
        <w:shd w:val="clear" w:color="ffffff" w:themeColor="accent6" w:themeTint="34" w:fill="f5e3d1" w:themeFill="accent6" w:themeFillTint="34"/>
        <w:tcBorders/>
      </w:tcPr>
    </w:tblStylePr>
    <w:tblStylePr w:type="band1Vert">
      <w:pPr>
        <w:pBdr/>
        <w:spacing/>
        <w:ind/>
      </w:pPr>
      <w:tblPr>
        <w:tblBorders/>
      </w:tblPr>
      <w:tcPr>
        <w:shd w:val="clear" w:color="ffffff" w:themeColor="accent6" w:themeTint="34" w:fill="f5e3d1" w:themeFill="accent6" w:themeFillTint="34"/>
        <w:tcBorders/>
      </w:tcPr>
    </w:tblStylePr>
    <w:tblStylePr w:type="band2Horz">
      <w:rPr>
        <w:rFonts w:ascii="Arial" w:hAnsi="Arial"/>
        <w:color w:val="71441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1441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1441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1441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1441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8">
    <w:name w:val="List Table 1 Light"/>
    <w:basedOn w:val="15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9">
    <w:name w:val="List Table 1 Light - Accent 1"/>
    <w:basedOn w:val="15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fbe8cb" w:themeFill="accent1" w:themeFillTint="40"/>
        <w:tcBorders/>
      </w:tcPr>
    </w:tblStylePr>
    <w:tblStylePr w:type="band1Vert">
      <w:pPr>
        <w:pBdr/>
        <w:spacing/>
        <w:ind/>
      </w:pPr>
      <w:tblPr>
        <w:tblBorders/>
      </w:tblPr>
      <w:tcPr>
        <w:shd w:val="clear" w:color="ffffff" w:themeColor="accent1" w:themeTint="40" w:fill="fbe8cb"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0">
    <w:name w:val="List Table 1 Light - Accent 2"/>
    <w:basedOn w:val="15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9d8d1" w:themeFill="accent2" w:themeFillTint="40"/>
        <w:tcBorders/>
      </w:tcPr>
    </w:tblStylePr>
    <w:tblStylePr w:type="band1Vert">
      <w:pPr>
        <w:pBdr/>
        <w:spacing/>
        <w:ind/>
      </w:pPr>
      <w:tblPr>
        <w:tblBorders/>
      </w:tblPr>
      <w:tcPr>
        <w:shd w:val="clear" w:color="ffffff" w:themeColor="accent2" w:themeTint="40" w:fill="e9d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1">
    <w:name w:val="List Table 1 Light - Accent 3"/>
    <w:basedOn w:val="15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ce2df" w:themeFill="accent3" w:themeFillTint="40"/>
        <w:tcBorders/>
      </w:tcPr>
    </w:tblStylePr>
    <w:tblStylePr w:type="band1Vert">
      <w:pPr>
        <w:pBdr/>
        <w:spacing/>
        <w:ind/>
      </w:pPr>
      <w:tblPr>
        <w:tblBorders/>
      </w:tblPr>
      <w:tcPr>
        <w:shd w:val="clear" w:color="ffffff" w:themeColor="accent3" w:themeTint="40" w:fill="ece2d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2">
    <w:name w:val="List Table 1 Light - Accent 4"/>
    <w:basedOn w:val="15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0e5da" w:themeFill="accent4" w:themeFillTint="40"/>
        <w:tcBorders/>
      </w:tcPr>
    </w:tblStylePr>
    <w:tblStylePr w:type="band1Vert">
      <w:pPr>
        <w:pBdr/>
        <w:spacing/>
        <w:ind/>
      </w:pPr>
      <w:tblPr>
        <w:tblBorders/>
      </w:tblPr>
      <w:tcPr>
        <w:shd w:val="clear" w:color="ffffff" w:themeColor="accent4" w:themeTint="40" w:fill="f0e5d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3">
    <w:name w:val="List Table 1 Light - Accent 5"/>
    <w:basedOn w:val="15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7e4dc" w:themeFill="accent5" w:themeFillTint="40"/>
        <w:tcBorders/>
      </w:tcPr>
    </w:tblStylePr>
    <w:tblStylePr w:type="band1Vert">
      <w:pPr>
        <w:pBdr/>
        <w:spacing/>
        <w:ind/>
      </w:pPr>
      <w:tblPr>
        <w:tblBorders/>
      </w:tblPr>
      <w:tcPr>
        <w:shd w:val="clear" w:color="ffffff" w:themeColor="accent5" w:themeTint="40" w:fill="e7e4d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4">
    <w:name w:val="List Table 1 Light - Accent 6"/>
    <w:basedOn w:val="15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3dcc6" w:themeFill="accent6" w:themeFillTint="40"/>
        <w:tcBorders/>
      </w:tcPr>
    </w:tblStylePr>
    <w:tblStylePr w:type="band1Vert">
      <w:pPr>
        <w:pBdr/>
        <w:spacing/>
        <w:ind/>
      </w:pPr>
      <w:tblPr>
        <w:tblBorders/>
      </w:tblPr>
      <w:tcPr>
        <w:shd w:val="clear" w:color="ffffff" w:themeColor="accent6" w:themeTint="40" w:fill="f3dcc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5">
    <w:name w:val="List Table 2"/>
    <w:basedOn w:val="15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6">
    <w:name w:val="List Table 2 - Accent 1"/>
    <w:basedOn w:val="15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be8cb"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be8cb"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7">
    <w:name w:val="List Table 2 - Accent 2"/>
    <w:basedOn w:val="15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9d8d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9d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8">
    <w:name w:val="List Table 2 - Accent 3"/>
    <w:basedOn w:val="15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ce2df"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ce2d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9">
    <w:name w:val="List Table 2 - Accent 4"/>
    <w:basedOn w:val="15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0e5d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0e5d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0">
    <w:name w:val="List Table 2 - Accent 5"/>
    <w:basedOn w:val="15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7e4dc"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7e4d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1">
    <w:name w:val="List Table 2 - Accent 6"/>
    <w:basedOn w:val="15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3dcc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3dcc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2">
    <w:name w:val="List Table 3"/>
    <w:basedOn w:val="15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3">
    <w:name w:val="List Table 3 - Accent 1"/>
    <w:basedOn w:val="15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f0a22e"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4">
    <w:name w:val="List Table 3 - Accent 2"/>
    <w:basedOn w:val="15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cca29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5">
    <w:name w:val="List Table 3 - Accent 3"/>
    <w:basedOn w:val="15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d3bab3"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6">
    <w:name w:val="List Table 3 - Accent 4"/>
    <w:basedOn w:val="15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dbc1a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7">
    <w:name w:val="List Table 3 - Accent 5"/>
    <w:basedOn w:val="15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c6bfa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8">
    <w:name w:val="List Table 3 - Accent 6"/>
    <w:basedOn w:val="15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2ad77"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9">
    <w:name w:val="List Table 4"/>
    <w:basedOn w:val="15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0">
    <w:name w:val="List Table 4 - Accent 1"/>
    <w:basedOn w:val="15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fbe8cb"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fbe8cb"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f0a22e"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1">
    <w:name w:val="List Table 4 - Accent 2"/>
    <w:basedOn w:val="15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9d8d1"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9d8d1"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a5644e"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2">
    <w:name w:val="List Table 4 - Accent 3"/>
    <w:basedOn w:val="15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ce2df"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ce2df"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b58b80"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3">
    <w:name w:val="List Table 4 - Accent 4"/>
    <w:basedOn w:val="15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0e5d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0e5d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c3986d"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4">
    <w:name w:val="List Table 4 - Accent 5"/>
    <w:basedOn w:val="15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7e4dc"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7e4dc"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1957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5">
    <w:name w:val="List Table 4 - Accent 6"/>
    <w:basedOn w:val="15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3dcc6"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3dcc6"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17529"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6">
    <w:name w:val="List Table 5 Dark"/>
    <w:basedOn w:val="15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7">
    <w:name w:val="List Table 5 Dark - Accent 1"/>
    <w:basedOn w:val="15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f0a22e" w:themeFill="accent1"/>
    </w:tblPr>
    <w:tcPr>
      <w:tcBorders/>
    </w:tcPr>
    <w:tblStylePr w:type="band1Horz">
      <w:pPr>
        <w:pBdr/>
        <w:spacing/>
        <w:ind/>
      </w:pPr>
      <w:tblPr>
        <w:tblBorders/>
      </w:tblPr>
      <w:tcPr>
        <w:shd w:val="clear" w:color="ffffff" w:themeColor="accent1" w:fill="f0a22e"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f0a22e"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f0a22e"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f0a22e"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8">
    <w:name w:val="List Table 5 Dark - Accent 2"/>
    <w:basedOn w:val="15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cca294" w:themeFill="accent2" w:themeFillTint="97"/>
    </w:tblPr>
    <w:tcPr>
      <w:tcBorders/>
    </w:tcPr>
    <w:tblStylePr w:type="band1Horz">
      <w:pPr>
        <w:pBdr/>
        <w:spacing/>
        <w:ind/>
      </w:pPr>
      <w:tblPr>
        <w:tblBorders/>
      </w:tblPr>
      <w:tcPr>
        <w:shd w:val="clear" w:color="ffffff" w:themeColor="accent2" w:themeTint="97" w:fill="cca29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cca29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cca29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cca29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599">
    <w:name w:val="List Table 5 Dark - Accent 3"/>
    <w:basedOn w:val="15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d3bab3" w:themeFill="accent3" w:themeFillTint="98"/>
    </w:tblPr>
    <w:tcPr>
      <w:tcBorders/>
    </w:tcPr>
    <w:tblStylePr w:type="band1Horz">
      <w:pPr>
        <w:pBdr/>
        <w:spacing/>
        <w:ind/>
      </w:pPr>
      <w:tblPr>
        <w:tblBorders/>
      </w:tblPr>
      <w:tcPr>
        <w:shd w:val="clear" w:color="ffffff" w:themeColor="accent3" w:themeTint="98" w:fill="d3bab3"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d3bab3"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d3bab3"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d3bab3"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0">
    <w:name w:val="List Table 5 Dark - Accent 4"/>
    <w:basedOn w:val="15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dbc1a7" w:themeFill="accent4" w:themeFillTint="9A"/>
    </w:tblPr>
    <w:tcPr>
      <w:tcBorders/>
    </w:tcPr>
    <w:tblStylePr w:type="band1Horz">
      <w:pPr>
        <w:pBdr/>
        <w:spacing/>
        <w:ind/>
      </w:pPr>
      <w:tblPr>
        <w:tblBorders/>
      </w:tblPr>
      <w:tcPr>
        <w:shd w:val="clear" w:color="ffffff" w:themeColor="accent4" w:themeTint="9A" w:fill="dbc1a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dbc1a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dbc1a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dbc1a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1">
    <w:name w:val="List Table 5 Dark - Accent 5"/>
    <w:basedOn w:val="15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c6bfab" w:themeFill="accent5" w:themeFillTint="9A"/>
    </w:tblPr>
    <w:tcPr>
      <w:tcBorders/>
    </w:tcPr>
    <w:tblStylePr w:type="band1Horz">
      <w:pPr>
        <w:pBdr/>
        <w:spacing/>
        <w:ind/>
      </w:pPr>
      <w:tblPr>
        <w:tblBorders/>
      </w:tblPr>
      <w:tcPr>
        <w:shd w:val="clear" w:color="ffffff" w:themeColor="accent5" w:themeTint="9A" w:fill="c6bfa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c6bfa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c6bfa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c6bfa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2">
    <w:name w:val="List Table 5 Dark - Accent 6"/>
    <w:basedOn w:val="15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2ad77" w:themeFill="accent6" w:themeFillTint="98"/>
    </w:tblPr>
    <w:tcPr>
      <w:tcBorders/>
    </w:tcPr>
    <w:tblStylePr w:type="band1Horz">
      <w:pPr>
        <w:pBdr/>
        <w:spacing/>
        <w:ind/>
      </w:pPr>
      <w:tblPr>
        <w:tblBorders/>
      </w:tblPr>
      <w:tcPr>
        <w:shd w:val="clear" w:color="ffffff" w:themeColor="accent6" w:themeTint="98" w:fill="e2ad77"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2ad77"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2ad77"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2ad77"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603">
    <w:name w:val="List Table 6 Colorful"/>
    <w:basedOn w:val="15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4">
    <w:name w:val="List Table 6 Colorful - Accent 1"/>
    <w:basedOn w:val="15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fbe8cb" w:themeFill="accent1" w:themeFillTint="40"/>
        <w:tcBorders/>
      </w:tcPr>
    </w:tblStylePr>
    <w:tblStylePr w:type="band1Vert">
      <w:pPr>
        <w:pBdr/>
        <w:spacing/>
        <w:ind/>
      </w:pPr>
      <w:tblPr>
        <w:tblBorders/>
      </w:tblPr>
      <w:tcPr>
        <w:shd w:val="clear" w:color="ffffff" w:themeColor="accent1" w:themeTint="40" w:fill="fbe8cb"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c620b" w:themeColor="accent1" w:themeShade="95"/>
      </w:rPr>
      <w:pPr>
        <w:pBdr/>
        <w:spacing/>
        <w:ind/>
      </w:pPr>
      <w:tblPr>
        <w:tblBorders/>
      </w:tblPr>
      <w:tcPr>
        <w:tcBorders/>
      </w:tcPr>
    </w:tblStylePr>
    <w:tblStylePr w:type="firstRow">
      <w:rPr>
        <w:b/>
        <w:color w:val="9c620b" w:themeColor="accent1" w:themeShade="95"/>
      </w:rPr>
      <w:pPr>
        <w:pBdr/>
        <w:spacing/>
        <w:ind/>
      </w:pPr>
      <w:tblPr>
        <w:tblBorders/>
      </w:tblPr>
      <w:tcPr>
        <w:tcBorders>
          <w:bottom w:val="single" w:color="000000" w:themeColor="accent1" w:sz="4" w:space="0"/>
        </w:tcBorders>
      </w:tcPr>
    </w:tblStylePr>
    <w:tblStylePr w:type="lastCol">
      <w:rPr>
        <w:b/>
        <w:color w:val="9c620b" w:themeColor="accent1" w:themeShade="95"/>
      </w:rPr>
      <w:pPr>
        <w:pBdr/>
        <w:spacing/>
        <w:ind/>
      </w:pPr>
      <w:tblPr>
        <w:tblBorders/>
      </w:tblPr>
      <w:tcPr>
        <w:tcBorders/>
      </w:tcPr>
    </w:tblStylePr>
    <w:tblStylePr w:type="lastRow">
      <w:rPr>
        <w:b/>
        <w:color w:val="9c620b"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5">
    <w:name w:val="List Table 6 Colorful - Accent 2"/>
    <w:basedOn w:val="15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9d8d1" w:themeFill="accent2" w:themeFillTint="40"/>
        <w:tcBorders/>
      </w:tcPr>
    </w:tblStylePr>
    <w:tblStylePr w:type="band1Vert">
      <w:pPr>
        <w:pBdr/>
        <w:spacing/>
        <w:ind/>
      </w:pPr>
      <w:tblPr>
        <w:tblBorders/>
      </w:tblPr>
      <w:tcPr>
        <w:shd w:val="clear" w:color="ffffff" w:themeColor="accent2" w:themeTint="40" w:fill="e9d8d1"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c5542" w:themeColor="accent2" w:themeTint="97" w:themeShade="95"/>
      </w:rPr>
      <w:pPr>
        <w:pBdr/>
        <w:spacing/>
        <w:ind/>
      </w:pPr>
      <w:tblPr>
        <w:tblBorders/>
      </w:tblPr>
      <w:tcPr>
        <w:tcBorders/>
      </w:tcPr>
    </w:tblStylePr>
    <w:tblStylePr w:type="firstRow">
      <w:rPr>
        <w:b/>
        <w:color w:val="8c5542" w:themeColor="accent2" w:themeTint="97" w:themeShade="95"/>
      </w:rPr>
      <w:pPr>
        <w:pBdr/>
        <w:spacing/>
        <w:ind/>
      </w:pPr>
      <w:tblPr>
        <w:tblBorders/>
      </w:tblPr>
      <w:tcPr>
        <w:tcBorders>
          <w:bottom w:val="single" w:color="000000" w:themeColor="accent2" w:themeTint="97" w:sz="4" w:space="0"/>
        </w:tcBorders>
      </w:tcPr>
    </w:tblStylePr>
    <w:tblStylePr w:type="lastCol">
      <w:rPr>
        <w:b/>
        <w:color w:val="8c5542" w:themeColor="accent2" w:themeTint="97" w:themeShade="95"/>
      </w:rPr>
      <w:pPr>
        <w:pBdr/>
        <w:spacing/>
        <w:ind/>
      </w:pPr>
      <w:tblPr>
        <w:tblBorders/>
      </w:tblPr>
      <w:tcPr>
        <w:tcBorders/>
      </w:tcPr>
    </w:tblStylePr>
    <w:tblStylePr w:type="lastRow">
      <w:rPr>
        <w:b/>
        <w:color w:val="8c554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6">
    <w:name w:val="List Table 6 Colorful - Accent 3"/>
    <w:basedOn w:val="15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ce2df" w:themeFill="accent3" w:themeFillTint="40"/>
        <w:tcBorders/>
      </w:tcPr>
    </w:tblStylePr>
    <w:tblStylePr w:type="band1Vert">
      <w:pPr>
        <w:pBdr/>
        <w:spacing/>
        <w:ind/>
      </w:pPr>
      <w:tblPr>
        <w:tblBorders/>
      </w:tblPr>
      <w:tcPr>
        <w:shd w:val="clear" w:color="ffffff" w:themeColor="accent3" w:themeTint="40" w:fill="ece2df"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06054" w:themeColor="accent3" w:themeTint="98" w:themeShade="95"/>
      </w:rPr>
      <w:pPr>
        <w:pBdr/>
        <w:spacing/>
        <w:ind/>
      </w:pPr>
      <w:tblPr>
        <w:tblBorders/>
      </w:tblPr>
      <w:tcPr>
        <w:tcBorders/>
      </w:tcPr>
    </w:tblStylePr>
    <w:tblStylePr w:type="firstRow">
      <w:rPr>
        <w:b/>
        <w:color w:val="906054" w:themeColor="accent3" w:themeTint="98" w:themeShade="95"/>
      </w:rPr>
      <w:pPr>
        <w:pBdr/>
        <w:spacing/>
        <w:ind/>
      </w:pPr>
      <w:tblPr>
        <w:tblBorders/>
      </w:tblPr>
      <w:tcPr>
        <w:tcBorders>
          <w:bottom w:val="single" w:color="000000" w:themeColor="accent3" w:themeTint="98" w:sz="4" w:space="0"/>
        </w:tcBorders>
      </w:tcPr>
    </w:tblStylePr>
    <w:tblStylePr w:type="lastCol">
      <w:rPr>
        <w:b/>
        <w:color w:val="906054" w:themeColor="accent3" w:themeTint="98" w:themeShade="95"/>
      </w:rPr>
      <w:pPr>
        <w:pBdr/>
        <w:spacing/>
        <w:ind/>
      </w:pPr>
      <w:tblPr>
        <w:tblBorders/>
      </w:tblPr>
      <w:tcPr>
        <w:tcBorders/>
      </w:tcPr>
    </w:tblStylePr>
    <w:tblStylePr w:type="lastRow">
      <w:rPr>
        <w:b/>
        <w:color w:val="906054"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7">
    <w:name w:val="List Table 6 Colorful - Accent 4"/>
    <w:basedOn w:val="15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0e5da" w:themeFill="accent4" w:themeFillTint="40"/>
        <w:tcBorders/>
      </w:tcPr>
    </w:tblStylePr>
    <w:tblStylePr w:type="band1Vert">
      <w:pPr>
        <w:pBdr/>
        <w:spacing/>
        <w:ind/>
      </w:pPr>
      <w:tblPr>
        <w:tblBorders/>
      </w:tblPr>
      <w:tcPr>
        <w:shd w:val="clear" w:color="ffffff" w:themeColor="accent4" w:themeTint="40" w:fill="f0e5d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7142" w:themeColor="accent4" w:themeTint="9A" w:themeShade="95"/>
      </w:rPr>
      <w:pPr>
        <w:pBdr/>
        <w:spacing/>
        <w:ind/>
      </w:pPr>
      <w:tblPr>
        <w:tblBorders/>
      </w:tblPr>
      <w:tcPr>
        <w:tcBorders/>
      </w:tcPr>
    </w:tblStylePr>
    <w:tblStylePr w:type="firstRow">
      <w:rPr>
        <w:b/>
        <w:color w:val="a07142" w:themeColor="accent4" w:themeTint="9A" w:themeShade="95"/>
      </w:rPr>
      <w:pPr>
        <w:pBdr/>
        <w:spacing/>
        <w:ind/>
      </w:pPr>
      <w:tblPr>
        <w:tblBorders/>
      </w:tblPr>
      <w:tcPr>
        <w:tcBorders>
          <w:bottom w:val="single" w:color="000000" w:themeColor="accent4" w:themeTint="9A" w:sz="4" w:space="0"/>
        </w:tcBorders>
      </w:tcPr>
    </w:tblStylePr>
    <w:tblStylePr w:type="lastCol">
      <w:rPr>
        <w:b/>
        <w:color w:val="a07142" w:themeColor="accent4" w:themeTint="9A" w:themeShade="95"/>
      </w:rPr>
      <w:pPr>
        <w:pBdr/>
        <w:spacing/>
        <w:ind/>
      </w:pPr>
      <w:tblPr>
        <w:tblBorders/>
      </w:tblPr>
      <w:tcPr>
        <w:tcBorders/>
      </w:tcPr>
    </w:tblStylePr>
    <w:tblStylePr w:type="lastRow">
      <w:rPr>
        <w:b/>
        <w:color w:val="a07142"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8">
    <w:name w:val="List Table 6 Colorful - Accent 5"/>
    <w:basedOn w:val="15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7e4dc" w:themeFill="accent5" w:themeFillTint="40"/>
        <w:tcBorders/>
      </w:tcPr>
    </w:tblStylePr>
    <w:tblStylePr w:type="band1Vert">
      <w:pPr>
        <w:pBdr/>
        <w:spacing/>
        <w:ind/>
      </w:pPr>
      <w:tblPr>
        <w:tblBorders/>
      </w:tblPr>
      <w:tcPr>
        <w:shd w:val="clear" w:color="ffffff" w:themeColor="accent5" w:themeTint="40" w:fill="e7e4dc"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17657" w:themeColor="accent5" w:themeTint="9A" w:themeShade="95"/>
      </w:rPr>
      <w:pPr>
        <w:pBdr/>
        <w:spacing/>
        <w:ind/>
      </w:pPr>
      <w:tblPr>
        <w:tblBorders/>
      </w:tblPr>
      <w:tcPr>
        <w:tcBorders/>
      </w:tcPr>
    </w:tblStylePr>
    <w:tblStylePr w:type="firstRow">
      <w:rPr>
        <w:b/>
        <w:color w:val="817657" w:themeColor="accent5" w:themeTint="9A" w:themeShade="95"/>
      </w:rPr>
      <w:pPr>
        <w:pBdr/>
        <w:spacing/>
        <w:ind/>
      </w:pPr>
      <w:tblPr>
        <w:tblBorders/>
      </w:tblPr>
      <w:tcPr>
        <w:tcBorders>
          <w:bottom w:val="single" w:color="000000" w:themeColor="accent5" w:themeTint="9A" w:sz="4" w:space="0"/>
        </w:tcBorders>
      </w:tcPr>
    </w:tblStylePr>
    <w:tblStylePr w:type="lastCol">
      <w:rPr>
        <w:b/>
        <w:color w:val="817657" w:themeColor="accent5" w:themeTint="9A" w:themeShade="95"/>
      </w:rPr>
      <w:pPr>
        <w:pBdr/>
        <w:spacing/>
        <w:ind/>
      </w:pPr>
      <w:tblPr>
        <w:tblBorders/>
      </w:tblPr>
      <w:tcPr>
        <w:tcBorders/>
      </w:tcPr>
    </w:tblStylePr>
    <w:tblStylePr w:type="lastRow">
      <w:rPr>
        <w:b/>
        <w:color w:val="817657"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9">
    <w:name w:val="List Table 6 Colorful - Accent 6"/>
    <w:basedOn w:val="15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3dcc6" w:themeFill="accent6" w:themeFillTint="40"/>
        <w:tcBorders/>
      </w:tcPr>
    </w:tblStylePr>
    <w:tblStylePr w:type="band1Vert">
      <w:pPr>
        <w:pBdr/>
        <w:spacing/>
        <w:ind/>
      </w:pPr>
      <w:tblPr>
        <w:tblBorders/>
      </w:tblPr>
      <w:tcPr>
        <w:shd w:val="clear" w:color="ffffff" w:themeColor="accent6" w:themeTint="40" w:fill="f3dcc6"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6523" w:themeColor="accent6" w:themeTint="98" w:themeShade="95"/>
      </w:rPr>
      <w:pPr>
        <w:pBdr/>
        <w:spacing/>
        <w:ind/>
      </w:pPr>
      <w:tblPr>
        <w:tblBorders/>
      </w:tblPr>
      <w:tcPr>
        <w:tcBorders/>
      </w:tcPr>
    </w:tblStylePr>
    <w:tblStylePr w:type="firstRow">
      <w:rPr>
        <w:b/>
        <w:color w:val="a66523" w:themeColor="accent6" w:themeTint="98" w:themeShade="95"/>
      </w:rPr>
      <w:pPr>
        <w:pBdr/>
        <w:spacing/>
        <w:ind/>
      </w:pPr>
      <w:tblPr>
        <w:tblBorders/>
      </w:tblPr>
      <w:tcPr>
        <w:tcBorders>
          <w:bottom w:val="single" w:color="000000" w:themeColor="accent6" w:themeTint="98" w:sz="4" w:space="0"/>
        </w:tcBorders>
      </w:tcPr>
    </w:tblStylePr>
    <w:tblStylePr w:type="lastCol">
      <w:rPr>
        <w:b/>
        <w:color w:val="a66523" w:themeColor="accent6" w:themeTint="98" w:themeShade="95"/>
      </w:rPr>
      <w:pPr>
        <w:pBdr/>
        <w:spacing/>
        <w:ind/>
      </w:pPr>
      <w:tblPr>
        <w:tblBorders/>
      </w:tblPr>
      <w:tcPr>
        <w:tcBorders/>
      </w:tcPr>
    </w:tblStylePr>
    <w:tblStylePr w:type="lastRow">
      <w:rPr>
        <w:b/>
        <w:color w:val="a66523"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0">
    <w:name w:val="List Table 7 Colorful"/>
    <w:basedOn w:val="15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611">
    <w:name w:val="List Table 7 Colorful - Accent 1"/>
    <w:basedOn w:val="15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9c620b" w:themeColor="accent1" w:themeShade="95"/>
        <w:sz w:val="22"/>
      </w:rPr>
      <w:pPr>
        <w:pBdr/>
        <w:spacing/>
        <w:ind/>
      </w:pPr>
      <w:tblPr>
        <w:tblBorders/>
      </w:tblPr>
      <w:tcPr>
        <w:shd w:val="clear" w:color="ffffff" w:themeColor="accent1" w:themeTint="40" w:fill="fbe8cb" w:themeFill="accent1" w:themeFillTint="40"/>
        <w:tcBorders/>
      </w:tcPr>
    </w:tblStylePr>
    <w:tblStylePr w:type="band1Vert">
      <w:pPr>
        <w:pBdr/>
        <w:spacing/>
        <w:ind/>
      </w:pPr>
      <w:tblPr>
        <w:tblBorders/>
      </w:tblPr>
      <w:tcPr>
        <w:shd w:val="clear" w:color="ffffff" w:themeColor="accent1" w:themeTint="40" w:fill="fbe8cb" w:themeFill="accent1" w:themeFillTint="40"/>
        <w:tcBorders/>
      </w:tcPr>
    </w:tblStylePr>
    <w:tblStylePr w:type="band2Horz">
      <w:rPr>
        <w:rFonts w:ascii="Arial" w:hAnsi="Arial"/>
        <w:color w:val="9c620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620b"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9c620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9c620b"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9c620b"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c620b" w:themeColor="accent1" w:themeShade="95"/>
        <w:sz w:val="22"/>
      </w:rPr>
      <w:pPr>
        <w:pBdr/>
        <w:spacing/>
        <w:ind/>
      </w:pPr>
      <w:tblPr>
        <w:tblBorders/>
      </w:tblPr>
      <w:tcPr>
        <w:tcBorders/>
      </w:tcPr>
    </w:tblStylePr>
  </w:style>
  <w:style w:type="table" w:styleId="1612">
    <w:name w:val="List Table 7 Colorful - Accent 2"/>
    <w:basedOn w:val="15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8c5542" w:themeColor="accent2" w:themeTint="97" w:themeShade="95"/>
        <w:sz w:val="22"/>
      </w:rPr>
      <w:pPr>
        <w:pBdr/>
        <w:spacing/>
        <w:ind/>
      </w:pPr>
      <w:tblPr>
        <w:tblBorders/>
      </w:tblPr>
      <w:tcPr>
        <w:shd w:val="clear" w:color="ffffff" w:themeColor="accent2" w:themeTint="40" w:fill="e9d8d1" w:themeFill="accent2" w:themeFillTint="40"/>
        <w:tcBorders/>
      </w:tcPr>
    </w:tblStylePr>
    <w:tblStylePr w:type="band1Vert">
      <w:pPr>
        <w:pBdr/>
        <w:spacing/>
        <w:ind/>
      </w:pPr>
      <w:tblPr>
        <w:tblBorders/>
      </w:tblPr>
      <w:tcPr>
        <w:shd w:val="clear" w:color="ffffff" w:themeColor="accent2" w:themeTint="40" w:fill="e9d8d1" w:themeFill="accent2" w:themeFillTint="40"/>
        <w:tcBorders/>
      </w:tcPr>
    </w:tblStylePr>
    <w:tblStylePr w:type="band2Horz">
      <w:rPr>
        <w:rFonts w:ascii="Arial" w:hAnsi="Arial"/>
        <w:color w:val="8c554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c554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8c554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8c554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8c554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c5542" w:themeColor="accent2" w:themeTint="97" w:themeShade="95"/>
        <w:sz w:val="22"/>
      </w:rPr>
      <w:pPr>
        <w:pBdr/>
        <w:spacing/>
        <w:ind/>
      </w:pPr>
      <w:tblPr>
        <w:tblBorders/>
      </w:tblPr>
      <w:tcPr>
        <w:tcBorders/>
      </w:tcPr>
    </w:tblStylePr>
  </w:style>
  <w:style w:type="table" w:styleId="1613">
    <w:name w:val="List Table 7 Colorful - Accent 3"/>
    <w:basedOn w:val="15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906054" w:themeColor="accent3" w:themeTint="98" w:themeShade="95"/>
        <w:sz w:val="22"/>
      </w:rPr>
      <w:pPr>
        <w:pBdr/>
        <w:spacing/>
        <w:ind/>
      </w:pPr>
      <w:tblPr>
        <w:tblBorders/>
      </w:tblPr>
      <w:tcPr>
        <w:shd w:val="clear" w:color="ffffff" w:themeColor="accent3" w:themeTint="40" w:fill="ece2df" w:themeFill="accent3" w:themeFillTint="40"/>
        <w:tcBorders/>
      </w:tcPr>
    </w:tblStylePr>
    <w:tblStylePr w:type="band1Vert">
      <w:pPr>
        <w:pBdr/>
        <w:spacing/>
        <w:ind/>
      </w:pPr>
      <w:tblPr>
        <w:tblBorders/>
      </w:tblPr>
      <w:tcPr>
        <w:shd w:val="clear" w:color="ffffff" w:themeColor="accent3" w:themeTint="40" w:fill="ece2df" w:themeFill="accent3" w:themeFillTint="40"/>
        <w:tcBorders/>
      </w:tcPr>
    </w:tblStylePr>
    <w:tblStylePr w:type="band2Horz">
      <w:rPr>
        <w:rFonts w:ascii="Arial" w:hAnsi="Arial"/>
        <w:color w:val="906054"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06054"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906054"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906054"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906054"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06054" w:themeColor="accent3" w:themeTint="98" w:themeShade="95"/>
        <w:sz w:val="22"/>
      </w:rPr>
      <w:pPr>
        <w:pBdr/>
        <w:spacing/>
        <w:ind/>
      </w:pPr>
      <w:tblPr>
        <w:tblBorders/>
      </w:tblPr>
      <w:tcPr>
        <w:tcBorders/>
      </w:tcPr>
    </w:tblStylePr>
  </w:style>
  <w:style w:type="table" w:styleId="1614">
    <w:name w:val="List Table 7 Colorful - Accent 4"/>
    <w:basedOn w:val="15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a07142" w:themeColor="accent4" w:themeTint="9A" w:themeShade="95"/>
        <w:sz w:val="22"/>
      </w:rPr>
      <w:pPr>
        <w:pBdr/>
        <w:spacing/>
        <w:ind/>
      </w:pPr>
      <w:tblPr>
        <w:tblBorders/>
      </w:tblPr>
      <w:tcPr>
        <w:shd w:val="clear" w:color="ffffff" w:themeColor="accent4" w:themeTint="40" w:fill="f0e5da" w:themeFill="accent4" w:themeFillTint="40"/>
        <w:tcBorders/>
      </w:tcPr>
    </w:tblStylePr>
    <w:tblStylePr w:type="band1Vert">
      <w:pPr>
        <w:pBdr/>
        <w:spacing/>
        <w:ind/>
      </w:pPr>
      <w:tblPr>
        <w:tblBorders/>
      </w:tblPr>
      <w:tcPr>
        <w:shd w:val="clear" w:color="ffffff" w:themeColor="accent4" w:themeTint="40" w:fill="f0e5da" w:themeFill="accent4" w:themeFillTint="40"/>
        <w:tcBorders/>
      </w:tcPr>
    </w:tblStylePr>
    <w:tblStylePr w:type="band2Horz">
      <w:rPr>
        <w:rFonts w:ascii="Arial" w:hAnsi="Arial"/>
        <w:color w:val="a07142"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7142"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a07142"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a07142"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a07142"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07142" w:themeColor="accent4" w:themeTint="9A" w:themeShade="95"/>
        <w:sz w:val="22"/>
      </w:rPr>
      <w:pPr>
        <w:pBdr/>
        <w:spacing/>
        <w:ind/>
      </w:pPr>
      <w:tblPr>
        <w:tblBorders/>
      </w:tblPr>
      <w:tcPr>
        <w:tcBorders/>
      </w:tcPr>
    </w:tblStylePr>
  </w:style>
  <w:style w:type="table" w:styleId="1615">
    <w:name w:val="List Table 7 Colorful - Accent 5"/>
    <w:basedOn w:val="15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817657" w:themeColor="accent5" w:themeTint="9A" w:themeShade="95"/>
        <w:sz w:val="22"/>
      </w:rPr>
      <w:pPr>
        <w:pBdr/>
        <w:spacing/>
        <w:ind/>
      </w:pPr>
      <w:tblPr>
        <w:tblBorders/>
      </w:tblPr>
      <w:tcPr>
        <w:shd w:val="clear" w:color="ffffff" w:themeColor="accent5" w:themeTint="40" w:fill="e7e4dc" w:themeFill="accent5" w:themeFillTint="40"/>
        <w:tcBorders/>
      </w:tcPr>
    </w:tblStylePr>
    <w:tblStylePr w:type="band1Vert">
      <w:pPr>
        <w:pBdr/>
        <w:spacing/>
        <w:ind/>
      </w:pPr>
      <w:tblPr>
        <w:tblBorders/>
      </w:tblPr>
      <w:tcPr>
        <w:shd w:val="clear" w:color="ffffff" w:themeColor="accent5" w:themeTint="40" w:fill="e7e4dc" w:themeFill="accent5" w:themeFillTint="40"/>
        <w:tcBorders/>
      </w:tcPr>
    </w:tblStylePr>
    <w:tblStylePr w:type="band2Horz">
      <w:rPr>
        <w:rFonts w:ascii="Arial" w:hAnsi="Arial"/>
        <w:color w:val="817657"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17657"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817657"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817657"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817657"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817657" w:themeColor="accent5" w:themeTint="9A" w:themeShade="95"/>
        <w:sz w:val="22"/>
      </w:rPr>
      <w:pPr>
        <w:pBdr/>
        <w:spacing/>
        <w:ind/>
      </w:pPr>
      <w:tblPr>
        <w:tblBorders/>
      </w:tblPr>
      <w:tcPr>
        <w:tcBorders/>
      </w:tcPr>
    </w:tblStylePr>
  </w:style>
  <w:style w:type="table" w:styleId="1616">
    <w:name w:val="List Table 7 Colorful - Accent 6"/>
    <w:basedOn w:val="15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66523" w:themeColor="accent6" w:themeTint="98" w:themeShade="95"/>
        <w:sz w:val="22"/>
      </w:rPr>
      <w:pPr>
        <w:pBdr/>
        <w:spacing/>
        <w:ind/>
      </w:pPr>
      <w:tblPr>
        <w:tblBorders/>
      </w:tblPr>
      <w:tcPr>
        <w:shd w:val="clear" w:color="ffffff" w:themeColor="accent6" w:themeTint="40" w:fill="f3dcc6" w:themeFill="accent6" w:themeFillTint="40"/>
        <w:tcBorders/>
      </w:tcPr>
    </w:tblStylePr>
    <w:tblStylePr w:type="band1Vert">
      <w:pPr>
        <w:pBdr/>
        <w:spacing/>
        <w:ind/>
      </w:pPr>
      <w:tblPr>
        <w:tblBorders/>
      </w:tblPr>
      <w:tcPr>
        <w:shd w:val="clear" w:color="ffffff" w:themeColor="accent6" w:themeTint="40" w:fill="f3dcc6" w:themeFill="accent6" w:themeFillTint="40"/>
        <w:tcBorders/>
      </w:tcPr>
    </w:tblStylePr>
    <w:tblStylePr w:type="band2Horz">
      <w:rPr>
        <w:rFonts w:ascii="Arial" w:hAnsi="Arial"/>
        <w:color w:val="a6652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6523"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6652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66523"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66523"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66523" w:themeColor="accent6" w:themeTint="98" w:themeShade="95"/>
        <w:sz w:val="22"/>
      </w:rPr>
      <w:pPr>
        <w:pBdr/>
        <w:spacing/>
        <w:ind/>
      </w:pPr>
      <w:tblPr>
        <w:tblBorders/>
      </w:tblPr>
      <w:tcPr>
        <w:tcBorders/>
      </w:tcPr>
    </w:tblStylePr>
  </w:style>
  <w:style w:type="table" w:styleId="1617">
    <w:name w:val="Lined - Accent"/>
    <w:basedOn w:val="15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8">
    <w:name w:val="Lined - Accent 1"/>
    <w:basedOn w:val="15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ae2b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ae2b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9">
    <w:name w:val="Lined - Accent 2"/>
    <w:basedOn w:val="15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0">
    <w:name w:val="Lined - Accent 3"/>
    <w:basedOn w:val="15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1">
    <w:name w:val="Lined - Accent 4"/>
    <w:basedOn w:val="15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2">
    <w:name w:val="Lined - Accent 5"/>
    <w:basedOn w:val="15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firstCol">
      <w:rPr>
        <w:rFonts w:ascii="Arial" w:hAnsi="Arial"/>
        <w:color w:val="f2f2f2"/>
        <w:sz w:val="22"/>
      </w:rPr>
      <w:pPr>
        <w:pBdr/>
        <w:spacing/>
        <w:ind/>
      </w:pPr>
      <w:tblPr>
        <w:tblBorders/>
      </w:tblPr>
      <w:tcPr>
        <w:shd w:val="clear" w:color="ffffff" w:themeColor="accent5" w:fill="a19574" w:themeFill="accent5"/>
        <w:tcBorders/>
      </w:tcPr>
    </w:tblStylePr>
    <w:tblStylePr w:type="firstRow">
      <w:rPr>
        <w:rFonts w:ascii="Arial" w:hAnsi="Arial"/>
        <w:color w:val="f2f2f2"/>
        <w:sz w:val="22"/>
      </w:rPr>
      <w:pPr>
        <w:pBdr/>
        <w:spacing/>
        <w:ind/>
      </w:pPr>
      <w:tblPr>
        <w:tblBorders/>
      </w:tblPr>
      <w:tcPr>
        <w:shd w:val="clear" w:color="ffffff" w:themeColor="accent5" w:fill="a19574" w:themeFill="accent5"/>
        <w:tcBorders/>
      </w:tcPr>
    </w:tblStylePr>
    <w:tblStylePr w:type="lastCol">
      <w:rPr>
        <w:rFonts w:ascii="Arial" w:hAnsi="Arial"/>
        <w:color w:val="f2f2f2"/>
        <w:sz w:val="22"/>
      </w:rPr>
      <w:pPr>
        <w:pBdr/>
        <w:spacing/>
        <w:ind/>
      </w:pPr>
      <w:tblPr>
        <w:tblBorders/>
      </w:tblPr>
      <w:tcPr>
        <w:shd w:val="clear" w:color="ffffff" w:themeColor="accent5" w:fill="a19574" w:themeFill="accent5"/>
        <w:tcBorders/>
      </w:tcPr>
    </w:tblStylePr>
    <w:tblStylePr w:type="lastRow">
      <w:rPr>
        <w:rFonts w:ascii="Arial" w:hAnsi="Arial"/>
        <w:color w:val="f2f2f2"/>
        <w:sz w:val="22"/>
      </w:rPr>
      <w:pPr>
        <w:pBdr/>
        <w:spacing/>
        <w:ind/>
      </w:pPr>
      <w:tblPr>
        <w:tblBorders/>
      </w:tblPr>
      <w:tcPr>
        <w:shd w:val="clear" w:color="ffffff" w:themeColor="accent5" w:fill="a1957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3">
    <w:name w:val="Lined - Accent 6"/>
    <w:basedOn w:val="15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firstCol">
      <w:rPr>
        <w:rFonts w:ascii="Arial" w:hAnsi="Arial"/>
        <w:color w:val="f2f2f2"/>
        <w:sz w:val="22"/>
      </w:rPr>
      <w:pPr>
        <w:pBdr/>
        <w:spacing/>
        <w:ind/>
      </w:pPr>
      <w:tblPr>
        <w:tblBorders/>
      </w:tblPr>
      <w:tcPr>
        <w:shd w:val="clear" w:color="ffffff" w:themeColor="accent6" w:fill="c17529" w:themeFill="accent6"/>
        <w:tcBorders/>
      </w:tcPr>
    </w:tblStylePr>
    <w:tblStylePr w:type="firstRow">
      <w:rPr>
        <w:rFonts w:ascii="Arial" w:hAnsi="Arial"/>
        <w:color w:val="f2f2f2"/>
        <w:sz w:val="22"/>
      </w:rPr>
      <w:pPr>
        <w:pBdr/>
        <w:spacing/>
        <w:ind/>
      </w:pPr>
      <w:tblPr>
        <w:tblBorders/>
      </w:tblPr>
      <w:tcPr>
        <w:shd w:val="clear" w:color="ffffff" w:themeColor="accent6" w:fill="c17529" w:themeFill="accent6"/>
        <w:tcBorders/>
      </w:tcPr>
    </w:tblStylePr>
    <w:tblStylePr w:type="lastCol">
      <w:rPr>
        <w:rFonts w:ascii="Arial" w:hAnsi="Arial"/>
        <w:color w:val="f2f2f2"/>
        <w:sz w:val="22"/>
      </w:rPr>
      <w:pPr>
        <w:pBdr/>
        <w:spacing/>
        <w:ind/>
      </w:pPr>
      <w:tblPr>
        <w:tblBorders/>
      </w:tblPr>
      <w:tcPr>
        <w:shd w:val="clear" w:color="ffffff" w:themeColor="accent6" w:fill="c17529" w:themeFill="accent6"/>
        <w:tcBorders/>
      </w:tcPr>
    </w:tblStylePr>
    <w:tblStylePr w:type="lastRow">
      <w:rPr>
        <w:rFonts w:ascii="Arial" w:hAnsi="Arial"/>
        <w:color w:val="f2f2f2"/>
        <w:sz w:val="22"/>
      </w:rPr>
      <w:pPr>
        <w:pBdr/>
        <w:spacing/>
        <w:ind/>
      </w:pPr>
      <w:tblPr>
        <w:tblBorders/>
      </w:tblPr>
      <w:tcPr>
        <w:shd w:val="clear" w:color="ffffff" w:themeColor="accent6" w:fill="c17529"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4">
    <w:name w:val="Bordered &amp; Lined - Accent"/>
    <w:basedOn w:val="15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5">
    <w:name w:val="Bordered &amp; Lined - Accent 1"/>
    <w:basedOn w:val="15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fae2bd"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fae2bd"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f1aa3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6">
    <w:name w:val="Bordered &amp; Lined - Accent 2"/>
    <w:basedOn w:val="15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eee0db"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cca29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7">
    <w:name w:val="Bordered &amp; Lined - Accent 3"/>
    <w:basedOn w:val="15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0e7e5"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b58b80"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8">
    <w:name w:val="Bordered &amp; Lined - Accent 4"/>
    <w:basedOn w:val="15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3eae1"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dbc1a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9">
    <w:name w:val="Bordered &amp; Lined - Accent 5"/>
    <w:basedOn w:val="15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ece9e3" w:themeFill="accent5" w:themeFillTint="34"/>
        <w:tcBorders/>
      </w:tcPr>
    </w:tblStylePr>
    <w:tblStylePr w:type="firstCol">
      <w:rPr>
        <w:rFonts w:ascii="Arial" w:hAnsi="Arial"/>
        <w:color w:val="f2f2f2"/>
        <w:sz w:val="22"/>
      </w:rPr>
      <w:pPr>
        <w:pBdr/>
        <w:spacing/>
        <w:ind/>
      </w:pPr>
      <w:tblPr>
        <w:tblBorders/>
      </w:tblPr>
      <w:tcPr>
        <w:shd w:val="clear" w:color="ffffff" w:themeColor="accent5" w:fill="a19574" w:themeFill="accent5"/>
        <w:tcBorders/>
      </w:tcPr>
    </w:tblStylePr>
    <w:tblStylePr w:type="firstRow">
      <w:rPr>
        <w:rFonts w:ascii="Arial" w:hAnsi="Arial"/>
        <w:color w:val="f2f2f2"/>
        <w:sz w:val="22"/>
      </w:rPr>
      <w:pPr>
        <w:pBdr/>
        <w:spacing/>
        <w:ind/>
      </w:pPr>
      <w:tblPr>
        <w:tblBorders/>
      </w:tblPr>
      <w:tcPr>
        <w:shd w:val="clear" w:color="ffffff" w:themeColor="accent5" w:fill="a19574" w:themeFill="accent5"/>
        <w:tcBorders/>
      </w:tcPr>
    </w:tblStylePr>
    <w:tblStylePr w:type="lastCol">
      <w:rPr>
        <w:rFonts w:ascii="Arial" w:hAnsi="Arial"/>
        <w:color w:val="f2f2f2"/>
        <w:sz w:val="22"/>
      </w:rPr>
      <w:pPr>
        <w:pBdr/>
        <w:spacing/>
        <w:ind/>
      </w:pPr>
      <w:tblPr>
        <w:tblBorders/>
      </w:tblPr>
      <w:tcPr>
        <w:shd w:val="clear" w:color="ffffff" w:themeColor="accent5" w:fill="a19574" w:themeFill="accent5"/>
        <w:tcBorders/>
      </w:tcPr>
    </w:tblStylePr>
    <w:tblStylePr w:type="lastRow">
      <w:rPr>
        <w:rFonts w:ascii="Arial" w:hAnsi="Arial"/>
        <w:color w:val="f2f2f2"/>
        <w:sz w:val="22"/>
      </w:rPr>
      <w:pPr>
        <w:pBdr/>
        <w:spacing/>
        <w:ind/>
      </w:pPr>
      <w:tblPr>
        <w:tblBorders/>
      </w:tblPr>
      <w:tcPr>
        <w:shd w:val="clear" w:color="ffffff" w:themeColor="accent5" w:fill="a1957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0">
    <w:name w:val="Bordered &amp; Lined - Accent 6"/>
    <w:basedOn w:val="15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5e3d1" w:themeFill="accent6" w:themeFillTint="34"/>
        <w:tcBorders/>
      </w:tcPr>
    </w:tblStylePr>
    <w:tblStylePr w:type="firstCol">
      <w:rPr>
        <w:rFonts w:ascii="Arial" w:hAnsi="Arial"/>
        <w:color w:val="f2f2f2"/>
        <w:sz w:val="22"/>
      </w:rPr>
      <w:pPr>
        <w:pBdr/>
        <w:spacing/>
        <w:ind/>
      </w:pPr>
      <w:tblPr>
        <w:tblBorders/>
      </w:tblPr>
      <w:tcPr>
        <w:shd w:val="clear" w:color="ffffff" w:themeColor="accent6" w:fill="c17529" w:themeFill="accent6"/>
        <w:tcBorders/>
      </w:tcPr>
    </w:tblStylePr>
    <w:tblStylePr w:type="firstRow">
      <w:rPr>
        <w:rFonts w:ascii="Arial" w:hAnsi="Arial"/>
        <w:color w:val="f2f2f2"/>
        <w:sz w:val="22"/>
      </w:rPr>
      <w:pPr>
        <w:pBdr/>
        <w:spacing/>
        <w:ind/>
      </w:pPr>
      <w:tblPr>
        <w:tblBorders/>
      </w:tblPr>
      <w:tcPr>
        <w:shd w:val="clear" w:color="ffffff" w:themeColor="accent6" w:fill="c17529" w:themeFill="accent6"/>
        <w:tcBorders/>
      </w:tcPr>
    </w:tblStylePr>
    <w:tblStylePr w:type="lastCol">
      <w:rPr>
        <w:rFonts w:ascii="Arial" w:hAnsi="Arial"/>
        <w:color w:val="f2f2f2"/>
        <w:sz w:val="22"/>
      </w:rPr>
      <w:pPr>
        <w:pBdr/>
        <w:spacing/>
        <w:ind/>
      </w:pPr>
      <w:tblPr>
        <w:tblBorders/>
      </w:tblPr>
      <w:tcPr>
        <w:shd w:val="clear" w:color="ffffff" w:themeColor="accent6" w:fill="c17529" w:themeFill="accent6"/>
        <w:tcBorders/>
      </w:tcPr>
    </w:tblStylePr>
    <w:tblStylePr w:type="lastRow">
      <w:rPr>
        <w:rFonts w:ascii="Arial" w:hAnsi="Arial"/>
        <w:color w:val="f2f2f2"/>
        <w:sz w:val="22"/>
      </w:rPr>
      <w:pPr>
        <w:pBdr/>
        <w:spacing/>
        <w:ind/>
      </w:pPr>
      <w:tblPr>
        <w:tblBorders/>
      </w:tblPr>
      <w:tcPr>
        <w:shd w:val="clear" w:color="ffffff" w:themeColor="accent6" w:fill="c17529"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1">
    <w:name w:val="Bordered"/>
    <w:basedOn w:val="15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2">
    <w:name w:val="Bordered - Accent 1"/>
    <w:basedOn w:val="15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3">
    <w:name w:val="Bordered - Accent 2"/>
    <w:basedOn w:val="15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4">
    <w:name w:val="Bordered - Accent 3"/>
    <w:basedOn w:val="15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5">
    <w:name w:val="Bordered - Accent 4"/>
    <w:basedOn w:val="15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6">
    <w:name w:val="Bordered - Accent 5"/>
    <w:basedOn w:val="15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7">
    <w:name w:val="Bordered - Accent 6"/>
    <w:basedOn w:val="15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638" w:default="1">
    <w:name w:val="Normal"/>
    <w:qFormat/>
    <w:pPr>
      <w:pBdr/>
      <w:spacing/>
      <w:ind/>
    </w:pPr>
  </w:style>
  <w:style w:type="paragraph" w:styleId="1639">
    <w:name w:val="Heading 1"/>
    <w:basedOn w:val="1638"/>
    <w:next w:val="1638"/>
    <w:link w:val="16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640">
    <w:name w:val="Heading 2"/>
    <w:basedOn w:val="1638"/>
    <w:next w:val="1638"/>
    <w:link w:val="16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641">
    <w:name w:val="Heading 3"/>
    <w:basedOn w:val="1638"/>
    <w:next w:val="1638"/>
    <w:link w:val="16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642">
    <w:name w:val="Heading 4"/>
    <w:basedOn w:val="1638"/>
    <w:next w:val="1638"/>
    <w:link w:val="16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643">
    <w:name w:val="Heading 5"/>
    <w:basedOn w:val="1638"/>
    <w:next w:val="1638"/>
    <w:link w:val="16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644">
    <w:name w:val="Heading 6"/>
    <w:basedOn w:val="1638"/>
    <w:next w:val="1638"/>
    <w:link w:val="16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645">
    <w:name w:val="Heading 7"/>
    <w:basedOn w:val="1638"/>
    <w:next w:val="1638"/>
    <w:link w:val="16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646">
    <w:name w:val="Heading 8"/>
    <w:basedOn w:val="1638"/>
    <w:next w:val="1638"/>
    <w:link w:val="16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647">
    <w:name w:val="Heading 9"/>
    <w:basedOn w:val="1638"/>
    <w:next w:val="1638"/>
    <w:link w:val="16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648" w:default="1">
    <w:name w:val="Default Paragraph Font"/>
    <w:uiPriority w:val="1"/>
    <w:semiHidden/>
    <w:unhideWhenUsed/>
    <w:pPr>
      <w:pBdr/>
      <w:spacing/>
      <w:ind/>
    </w:pPr>
  </w:style>
  <w:style w:type="numbering" w:styleId="1649" w:default="1">
    <w:name w:val="No List"/>
    <w:uiPriority w:val="99"/>
    <w:semiHidden/>
    <w:unhideWhenUsed/>
    <w:pPr>
      <w:pBdr/>
      <w:spacing/>
      <w:ind/>
    </w:pPr>
  </w:style>
  <w:style w:type="character" w:styleId="1650">
    <w:name w:val="Heading 1 Char"/>
    <w:basedOn w:val="1648"/>
    <w:link w:val="1639"/>
    <w:uiPriority w:val="9"/>
    <w:pPr>
      <w:pBdr/>
      <w:spacing/>
      <w:ind/>
    </w:pPr>
    <w:rPr>
      <w:rFonts w:ascii="Arial" w:hAnsi="Arial" w:eastAsia="Arial" w:cs="Arial"/>
      <w:color w:val="0f4761" w:themeColor="accent1" w:themeShade="BF"/>
      <w:sz w:val="40"/>
      <w:szCs w:val="40"/>
    </w:rPr>
  </w:style>
  <w:style w:type="character" w:styleId="1651">
    <w:name w:val="Heading 2 Char"/>
    <w:basedOn w:val="1648"/>
    <w:link w:val="1640"/>
    <w:uiPriority w:val="9"/>
    <w:pPr>
      <w:pBdr/>
      <w:spacing/>
      <w:ind/>
    </w:pPr>
    <w:rPr>
      <w:rFonts w:ascii="Arial" w:hAnsi="Arial" w:eastAsia="Arial" w:cs="Arial"/>
      <w:color w:val="0f4761" w:themeColor="accent1" w:themeShade="BF"/>
      <w:sz w:val="32"/>
      <w:szCs w:val="32"/>
    </w:rPr>
  </w:style>
  <w:style w:type="character" w:styleId="1652">
    <w:name w:val="Heading 3 Char"/>
    <w:basedOn w:val="1648"/>
    <w:link w:val="1641"/>
    <w:uiPriority w:val="9"/>
    <w:pPr>
      <w:pBdr/>
      <w:spacing/>
      <w:ind/>
    </w:pPr>
    <w:rPr>
      <w:rFonts w:ascii="Arial" w:hAnsi="Arial" w:eastAsia="Arial" w:cs="Arial"/>
      <w:color w:val="0f4761" w:themeColor="accent1" w:themeShade="BF"/>
      <w:sz w:val="28"/>
      <w:szCs w:val="28"/>
    </w:rPr>
  </w:style>
  <w:style w:type="character" w:styleId="1653">
    <w:name w:val="Heading 4 Char"/>
    <w:basedOn w:val="1648"/>
    <w:link w:val="1642"/>
    <w:uiPriority w:val="9"/>
    <w:pPr>
      <w:pBdr/>
      <w:spacing/>
      <w:ind/>
    </w:pPr>
    <w:rPr>
      <w:rFonts w:ascii="Arial" w:hAnsi="Arial" w:eastAsia="Arial" w:cs="Arial"/>
      <w:i/>
      <w:iCs/>
      <w:color w:val="0f4761" w:themeColor="accent1" w:themeShade="BF"/>
    </w:rPr>
  </w:style>
  <w:style w:type="character" w:styleId="1654">
    <w:name w:val="Heading 5 Char"/>
    <w:basedOn w:val="1648"/>
    <w:link w:val="1643"/>
    <w:uiPriority w:val="9"/>
    <w:pPr>
      <w:pBdr/>
      <w:spacing/>
      <w:ind/>
    </w:pPr>
    <w:rPr>
      <w:rFonts w:ascii="Arial" w:hAnsi="Arial" w:eastAsia="Arial" w:cs="Arial"/>
      <w:color w:val="0f4761" w:themeColor="accent1" w:themeShade="BF"/>
    </w:rPr>
  </w:style>
  <w:style w:type="character" w:styleId="1655">
    <w:name w:val="Heading 6 Char"/>
    <w:basedOn w:val="1648"/>
    <w:link w:val="1644"/>
    <w:uiPriority w:val="9"/>
    <w:pPr>
      <w:pBdr/>
      <w:spacing/>
      <w:ind/>
    </w:pPr>
    <w:rPr>
      <w:rFonts w:ascii="Arial" w:hAnsi="Arial" w:eastAsia="Arial" w:cs="Arial"/>
      <w:i/>
      <w:iCs/>
      <w:color w:val="595959" w:themeColor="text1" w:themeTint="A6"/>
    </w:rPr>
  </w:style>
  <w:style w:type="character" w:styleId="1656">
    <w:name w:val="Heading 7 Char"/>
    <w:basedOn w:val="1648"/>
    <w:link w:val="1645"/>
    <w:uiPriority w:val="9"/>
    <w:pPr>
      <w:pBdr/>
      <w:spacing/>
      <w:ind/>
    </w:pPr>
    <w:rPr>
      <w:rFonts w:ascii="Arial" w:hAnsi="Arial" w:eastAsia="Arial" w:cs="Arial"/>
      <w:color w:val="595959" w:themeColor="text1" w:themeTint="A6"/>
    </w:rPr>
  </w:style>
  <w:style w:type="character" w:styleId="1657">
    <w:name w:val="Heading 8 Char"/>
    <w:basedOn w:val="1648"/>
    <w:link w:val="1646"/>
    <w:uiPriority w:val="9"/>
    <w:pPr>
      <w:pBdr/>
      <w:spacing/>
      <w:ind/>
    </w:pPr>
    <w:rPr>
      <w:rFonts w:ascii="Arial" w:hAnsi="Arial" w:eastAsia="Arial" w:cs="Arial"/>
      <w:i/>
      <w:iCs/>
      <w:color w:val="272727" w:themeColor="text1" w:themeTint="D8"/>
    </w:rPr>
  </w:style>
  <w:style w:type="character" w:styleId="1658">
    <w:name w:val="Heading 9 Char"/>
    <w:basedOn w:val="1648"/>
    <w:link w:val="1647"/>
    <w:uiPriority w:val="9"/>
    <w:pPr>
      <w:pBdr/>
      <w:spacing/>
      <w:ind/>
    </w:pPr>
    <w:rPr>
      <w:rFonts w:ascii="Arial" w:hAnsi="Arial" w:eastAsia="Arial" w:cs="Arial"/>
      <w:i/>
      <w:iCs/>
      <w:color w:val="272727" w:themeColor="text1" w:themeTint="D8"/>
    </w:rPr>
  </w:style>
  <w:style w:type="paragraph" w:styleId="1659">
    <w:name w:val="Title"/>
    <w:basedOn w:val="1638"/>
    <w:next w:val="1638"/>
    <w:link w:val="1660"/>
    <w:uiPriority w:val="10"/>
    <w:qFormat/>
    <w:pPr>
      <w:pBdr/>
      <w:spacing w:after="80" w:line="240" w:lineRule="auto"/>
      <w:ind/>
      <w:contextualSpacing w:val="true"/>
    </w:pPr>
    <w:rPr>
      <w:rFonts w:ascii="Arial" w:hAnsi="Arial" w:eastAsia="Arial" w:cs="Arial"/>
      <w:spacing w:val="-10"/>
      <w:sz w:val="56"/>
      <w:szCs w:val="56"/>
    </w:rPr>
  </w:style>
  <w:style w:type="character" w:styleId="1660">
    <w:name w:val="Title Char"/>
    <w:basedOn w:val="1648"/>
    <w:link w:val="1659"/>
    <w:uiPriority w:val="10"/>
    <w:pPr>
      <w:pBdr/>
      <w:spacing/>
      <w:ind/>
    </w:pPr>
    <w:rPr>
      <w:rFonts w:ascii="Arial" w:hAnsi="Arial" w:eastAsia="Arial" w:cs="Arial"/>
      <w:spacing w:val="-10"/>
      <w:sz w:val="56"/>
      <w:szCs w:val="56"/>
    </w:rPr>
  </w:style>
  <w:style w:type="paragraph" w:styleId="1661">
    <w:name w:val="Subtitle"/>
    <w:basedOn w:val="1638"/>
    <w:next w:val="1638"/>
    <w:link w:val="1662"/>
    <w:uiPriority w:val="11"/>
    <w:qFormat/>
    <w:pPr>
      <w:numPr>
        <w:ilvl w:val="1"/>
      </w:numPr>
      <w:pBdr/>
      <w:spacing/>
      <w:ind/>
    </w:pPr>
    <w:rPr>
      <w:color w:val="595959" w:themeColor="text1" w:themeTint="A6"/>
      <w:spacing w:val="15"/>
      <w:sz w:val="28"/>
      <w:szCs w:val="28"/>
    </w:rPr>
  </w:style>
  <w:style w:type="character" w:styleId="1662">
    <w:name w:val="Subtitle Char"/>
    <w:basedOn w:val="1648"/>
    <w:link w:val="1661"/>
    <w:uiPriority w:val="11"/>
    <w:pPr>
      <w:pBdr/>
      <w:spacing/>
      <w:ind/>
    </w:pPr>
    <w:rPr>
      <w:color w:val="595959" w:themeColor="text1" w:themeTint="A6"/>
      <w:spacing w:val="15"/>
      <w:sz w:val="28"/>
      <w:szCs w:val="28"/>
    </w:rPr>
  </w:style>
  <w:style w:type="paragraph" w:styleId="1663">
    <w:name w:val="Quote"/>
    <w:basedOn w:val="1638"/>
    <w:next w:val="1638"/>
    <w:link w:val="1664"/>
    <w:uiPriority w:val="29"/>
    <w:qFormat/>
    <w:pPr>
      <w:pBdr/>
      <w:spacing w:before="160"/>
      <w:ind/>
      <w:jc w:val="center"/>
    </w:pPr>
    <w:rPr>
      <w:i/>
      <w:iCs/>
      <w:color w:val="404040" w:themeColor="text1" w:themeTint="BF"/>
    </w:rPr>
  </w:style>
  <w:style w:type="character" w:styleId="1664">
    <w:name w:val="Quote Char"/>
    <w:basedOn w:val="1648"/>
    <w:link w:val="1663"/>
    <w:uiPriority w:val="29"/>
    <w:pPr>
      <w:pBdr/>
      <w:spacing/>
      <w:ind/>
    </w:pPr>
    <w:rPr>
      <w:i/>
      <w:iCs/>
      <w:color w:val="404040" w:themeColor="text1" w:themeTint="BF"/>
    </w:rPr>
  </w:style>
  <w:style w:type="paragraph" w:styleId="1665">
    <w:name w:val="List Paragraph"/>
    <w:basedOn w:val="1638"/>
    <w:uiPriority w:val="34"/>
    <w:qFormat/>
    <w:pPr>
      <w:pBdr/>
      <w:spacing/>
      <w:ind w:left="720"/>
      <w:contextualSpacing w:val="true"/>
    </w:pPr>
  </w:style>
  <w:style w:type="character" w:styleId="1666">
    <w:name w:val="Intense Emphasis"/>
    <w:basedOn w:val="1648"/>
    <w:uiPriority w:val="21"/>
    <w:qFormat/>
    <w:pPr>
      <w:pBdr/>
      <w:spacing/>
      <w:ind/>
    </w:pPr>
    <w:rPr>
      <w:i/>
      <w:iCs/>
      <w:color w:val="0f4761" w:themeColor="accent1" w:themeShade="BF"/>
    </w:rPr>
  </w:style>
  <w:style w:type="paragraph" w:styleId="1667">
    <w:name w:val="Intense Quote"/>
    <w:basedOn w:val="1638"/>
    <w:next w:val="1638"/>
    <w:link w:val="16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68">
    <w:name w:val="Intense Quote Char"/>
    <w:basedOn w:val="1648"/>
    <w:link w:val="1667"/>
    <w:uiPriority w:val="30"/>
    <w:pPr>
      <w:pBdr/>
      <w:spacing/>
      <w:ind/>
    </w:pPr>
    <w:rPr>
      <w:i/>
      <w:iCs/>
      <w:color w:val="0f4761" w:themeColor="accent1" w:themeShade="BF"/>
    </w:rPr>
  </w:style>
  <w:style w:type="character" w:styleId="1669">
    <w:name w:val="Intense Reference"/>
    <w:basedOn w:val="1648"/>
    <w:uiPriority w:val="32"/>
    <w:qFormat/>
    <w:pPr>
      <w:pBdr/>
      <w:spacing/>
      <w:ind/>
    </w:pPr>
    <w:rPr>
      <w:b/>
      <w:bCs/>
      <w:smallCaps/>
      <w:color w:val="0f4761" w:themeColor="accent1" w:themeShade="BF"/>
      <w:spacing w:val="5"/>
    </w:rPr>
  </w:style>
  <w:style w:type="paragraph" w:styleId="1670">
    <w:name w:val="No Spacing"/>
    <w:basedOn w:val="1638"/>
    <w:uiPriority w:val="1"/>
    <w:qFormat/>
    <w:pPr>
      <w:pBdr/>
      <w:spacing w:after="0" w:line="240" w:lineRule="auto"/>
      <w:ind/>
    </w:pPr>
  </w:style>
  <w:style w:type="character" w:styleId="1671">
    <w:name w:val="Subtle Emphasis"/>
    <w:basedOn w:val="1648"/>
    <w:uiPriority w:val="19"/>
    <w:qFormat/>
    <w:pPr>
      <w:pBdr/>
      <w:spacing/>
      <w:ind/>
    </w:pPr>
    <w:rPr>
      <w:i/>
      <w:iCs/>
      <w:color w:val="404040" w:themeColor="text1" w:themeTint="BF"/>
    </w:rPr>
  </w:style>
  <w:style w:type="character" w:styleId="1672">
    <w:name w:val="Emphasis"/>
    <w:basedOn w:val="1648"/>
    <w:uiPriority w:val="20"/>
    <w:qFormat/>
    <w:pPr>
      <w:pBdr/>
      <w:spacing/>
      <w:ind/>
    </w:pPr>
    <w:rPr>
      <w:i/>
      <w:iCs/>
    </w:rPr>
  </w:style>
  <w:style w:type="character" w:styleId="1673">
    <w:name w:val="Strong"/>
    <w:basedOn w:val="1648"/>
    <w:uiPriority w:val="22"/>
    <w:qFormat/>
    <w:pPr>
      <w:pBdr/>
      <w:spacing/>
      <w:ind/>
    </w:pPr>
    <w:rPr>
      <w:b/>
      <w:bCs/>
    </w:rPr>
  </w:style>
  <w:style w:type="character" w:styleId="1674">
    <w:name w:val="Subtle Reference"/>
    <w:basedOn w:val="1648"/>
    <w:uiPriority w:val="31"/>
    <w:qFormat/>
    <w:pPr>
      <w:pBdr/>
      <w:spacing/>
      <w:ind/>
    </w:pPr>
    <w:rPr>
      <w:smallCaps/>
      <w:color w:val="5a5a5a" w:themeColor="text1" w:themeTint="A5"/>
    </w:rPr>
  </w:style>
  <w:style w:type="character" w:styleId="1675">
    <w:name w:val="Book Title"/>
    <w:basedOn w:val="1648"/>
    <w:uiPriority w:val="33"/>
    <w:qFormat/>
    <w:pPr>
      <w:pBdr/>
      <w:spacing/>
      <w:ind/>
    </w:pPr>
    <w:rPr>
      <w:b/>
      <w:bCs/>
      <w:i/>
      <w:iCs/>
      <w:spacing w:val="5"/>
    </w:rPr>
  </w:style>
  <w:style w:type="paragraph" w:styleId="1676">
    <w:name w:val="Header"/>
    <w:basedOn w:val="1638"/>
    <w:link w:val="1677"/>
    <w:uiPriority w:val="99"/>
    <w:unhideWhenUsed/>
    <w:pPr>
      <w:pBdr/>
      <w:tabs>
        <w:tab w:val="center" w:leader="none" w:pos="4844"/>
        <w:tab w:val="right" w:leader="none" w:pos="9689"/>
      </w:tabs>
      <w:spacing w:after="0" w:line="240" w:lineRule="auto"/>
      <w:ind/>
    </w:pPr>
  </w:style>
  <w:style w:type="character" w:styleId="1677">
    <w:name w:val="Header Char"/>
    <w:basedOn w:val="1648"/>
    <w:link w:val="1676"/>
    <w:uiPriority w:val="99"/>
    <w:pPr>
      <w:pBdr/>
      <w:spacing/>
      <w:ind/>
    </w:pPr>
  </w:style>
  <w:style w:type="paragraph" w:styleId="1678">
    <w:name w:val="Footer"/>
    <w:basedOn w:val="1638"/>
    <w:link w:val="1679"/>
    <w:uiPriority w:val="99"/>
    <w:unhideWhenUsed/>
    <w:pPr>
      <w:pBdr/>
      <w:tabs>
        <w:tab w:val="center" w:leader="none" w:pos="4844"/>
        <w:tab w:val="right" w:leader="none" w:pos="9689"/>
      </w:tabs>
      <w:spacing w:after="0" w:line="240" w:lineRule="auto"/>
      <w:ind/>
    </w:pPr>
  </w:style>
  <w:style w:type="character" w:styleId="1679">
    <w:name w:val="Footer Char"/>
    <w:basedOn w:val="1648"/>
    <w:link w:val="1678"/>
    <w:uiPriority w:val="99"/>
    <w:pPr>
      <w:pBdr/>
      <w:spacing/>
      <w:ind/>
    </w:pPr>
  </w:style>
  <w:style w:type="paragraph" w:styleId="1680">
    <w:name w:val="Caption"/>
    <w:basedOn w:val="1638"/>
    <w:next w:val="1638"/>
    <w:uiPriority w:val="35"/>
    <w:unhideWhenUsed/>
    <w:qFormat/>
    <w:pPr>
      <w:pBdr/>
      <w:spacing w:after="200" w:line="240" w:lineRule="auto"/>
      <w:ind/>
    </w:pPr>
    <w:rPr>
      <w:i/>
      <w:iCs/>
      <w:color w:val="0e2841" w:themeColor="text2"/>
      <w:sz w:val="18"/>
      <w:szCs w:val="18"/>
    </w:rPr>
  </w:style>
  <w:style w:type="paragraph" w:styleId="1681">
    <w:name w:val="footnote text"/>
    <w:basedOn w:val="1638"/>
    <w:link w:val="1682"/>
    <w:uiPriority w:val="99"/>
    <w:semiHidden/>
    <w:unhideWhenUsed/>
    <w:pPr>
      <w:pBdr/>
      <w:spacing w:after="0" w:line="240" w:lineRule="auto"/>
      <w:ind/>
    </w:pPr>
    <w:rPr>
      <w:sz w:val="20"/>
      <w:szCs w:val="20"/>
    </w:rPr>
  </w:style>
  <w:style w:type="character" w:styleId="1682">
    <w:name w:val="Footnote Text Char"/>
    <w:basedOn w:val="1648"/>
    <w:link w:val="1681"/>
    <w:uiPriority w:val="99"/>
    <w:semiHidden/>
    <w:pPr>
      <w:pBdr/>
      <w:spacing/>
      <w:ind/>
    </w:pPr>
    <w:rPr>
      <w:sz w:val="20"/>
      <w:szCs w:val="20"/>
    </w:rPr>
  </w:style>
  <w:style w:type="character" w:styleId="1683">
    <w:name w:val="footnote reference"/>
    <w:basedOn w:val="1648"/>
    <w:uiPriority w:val="99"/>
    <w:semiHidden/>
    <w:unhideWhenUsed/>
    <w:pPr>
      <w:pBdr/>
      <w:spacing/>
      <w:ind/>
    </w:pPr>
    <w:rPr>
      <w:vertAlign w:val="superscript"/>
    </w:rPr>
  </w:style>
  <w:style w:type="paragraph" w:styleId="1684">
    <w:name w:val="endnote text"/>
    <w:basedOn w:val="1638"/>
    <w:link w:val="1685"/>
    <w:uiPriority w:val="99"/>
    <w:semiHidden/>
    <w:unhideWhenUsed/>
    <w:pPr>
      <w:pBdr/>
      <w:spacing w:after="0" w:line="240" w:lineRule="auto"/>
      <w:ind/>
    </w:pPr>
    <w:rPr>
      <w:sz w:val="20"/>
      <w:szCs w:val="20"/>
    </w:rPr>
  </w:style>
  <w:style w:type="character" w:styleId="1685">
    <w:name w:val="Endnote Text Char"/>
    <w:basedOn w:val="1648"/>
    <w:link w:val="1684"/>
    <w:uiPriority w:val="99"/>
    <w:semiHidden/>
    <w:pPr>
      <w:pBdr/>
      <w:spacing/>
      <w:ind/>
    </w:pPr>
    <w:rPr>
      <w:sz w:val="20"/>
      <w:szCs w:val="20"/>
    </w:rPr>
  </w:style>
  <w:style w:type="character" w:styleId="1686">
    <w:name w:val="endnote reference"/>
    <w:basedOn w:val="1648"/>
    <w:uiPriority w:val="99"/>
    <w:semiHidden/>
    <w:unhideWhenUsed/>
    <w:pPr>
      <w:pBdr/>
      <w:spacing/>
      <w:ind/>
    </w:pPr>
    <w:rPr>
      <w:vertAlign w:val="superscript"/>
    </w:rPr>
  </w:style>
  <w:style w:type="character" w:styleId="1687">
    <w:name w:val="Hyperlink"/>
    <w:basedOn w:val="1648"/>
    <w:uiPriority w:val="99"/>
    <w:unhideWhenUsed/>
    <w:pPr>
      <w:pBdr/>
      <w:spacing/>
      <w:ind/>
    </w:pPr>
    <w:rPr>
      <w:color w:val="0563c1" w:themeColor="hyperlink"/>
      <w:u w:val="single"/>
    </w:rPr>
  </w:style>
  <w:style w:type="character" w:styleId="1688">
    <w:name w:val="FollowedHyperlink"/>
    <w:basedOn w:val="1648"/>
    <w:uiPriority w:val="99"/>
    <w:semiHidden/>
    <w:unhideWhenUsed/>
    <w:pPr>
      <w:pBdr/>
      <w:spacing/>
      <w:ind/>
    </w:pPr>
    <w:rPr>
      <w:color w:val="954f72" w:themeColor="followedHyperlink"/>
      <w:u w:val="single"/>
    </w:rPr>
  </w:style>
  <w:style w:type="paragraph" w:styleId="1689">
    <w:name w:val="toc 1"/>
    <w:basedOn w:val="1638"/>
    <w:next w:val="1638"/>
    <w:uiPriority w:val="39"/>
    <w:unhideWhenUsed/>
    <w:pPr>
      <w:pBdr/>
      <w:spacing w:after="100"/>
      <w:ind/>
    </w:pPr>
  </w:style>
  <w:style w:type="paragraph" w:styleId="1690">
    <w:name w:val="toc 2"/>
    <w:basedOn w:val="1638"/>
    <w:next w:val="1638"/>
    <w:uiPriority w:val="39"/>
    <w:unhideWhenUsed/>
    <w:pPr>
      <w:pBdr/>
      <w:spacing w:after="100"/>
      <w:ind w:left="220"/>
    </w:pPr>
  </w:style>
  <w:style w:type="paragraph" w:styleId="1691">
    <w:name w:val="toc 3"/>
    <w:basedOn w:val="1638"/>
    <w:next w:val="1638"/>
    <w:uiPriority w:val="39"/>
    <w:unhideWhenUsed/>
    <w:pPr>
      <w:pBdr/>
      <w:spacing w:after="100"/>
      <w:ind w:left="440"/>
    </w:pPr>
  </w:style>
  <w:style w:type="paragraph" w:styleId="1692">
    <w:name w:val="toc 4"/>
    <w:basedOn w:val="1638"/>
    <w:next w:val="1638"/>
    <w:uiPriority w:val="39"/>
    <w:unhideWhenUsed/>
    <w:pPr>
      <w:pBdr/>
      <w:spacing w:after="100"/>
      <w:ind w:left="660"/>
    </w:pPr>
  </w:style>
  <w:style w:type="paragraph" w:styleId="1693">
    <w:name w:val="toc 5"/>
    <w:basedOn w:val="1638"/>
    <w:next w:val="1638"/>
    <w:uiPriority w:val="39"/>
    <w:unhideWhenUsed/>
    <w:pPr>
      <w:pBdr/>
      <w:spacing w:after="100"/>
      <w:ind w:left="880"/>
    </w:pPr>
  </w:style>
  <w:style w:type="paragraph" w:styleId="1694">
    <w:name w:val="toc 6"/>
    <w:basedOn w:val="1638"/>
    <w:next w:val="1638"/>
    <w:uiPriority w:val="39"/>
    <w:unhideWhenUsed/>
    <w:pPr>
      <w:pBdr/>
      <w:spacing w:after="100"/>
      <w:ind w:left="1100"/>
    </w:pPr>
  </w:style>
  <w:style w:type="paragraph" w:styleId="1695">
    <w:name w:val="toc 7"/>
    <w:basedOn w:val="1638"/>
    <w:next w:val="1638"/>
    <w:uiPriority w:val="39"/>
    <w:unhideWhenUsed/>
    <w:pPr>
      <w:pBdr/>
      <w:spacing w:after="100"/>
      <w:ind w:left="1320"/>
    </w:pPr>
  </w:style>
  <w:style w:type="paragraph" w:styleId="1696">
    <w:name w:val="toc 8"/>
    <w:basedOn w:val="1638"/>
    <w:next w:val="1638"/>
    <w:uiPriority w:val="39"/>
    <w:unhideWhenUsed/>
    <w:pPr>
      <w:pBdr/>
      <w:spacing w:after="100"/>
      <w:ind w:left="1540"/>
    </w:pPr>
  </w:style>
  <w:style w:type="paragraph" w:styleId="1697">
    <w:name w:val="toc 9"/>
    <w:basedOn w:val="1638"/>
    <w:next w:val="1638"/>
    <w:uiPriority w:val="39"/>
    <w:unhideWhenUsed/>
    <w:pPr>
      <w:pBdr/>
      <w:spacing w:after="100"/>
      <w:ind w:left="1760"/>
    </w:pPr>
  </w:style>
  <w:style w:type="character" w:styleId="1698">
    <w:name w:val="Placeholder Text"/>
    <w:basedOn w:val="1648"/>
    <w:uiPriority w:val="99"/>
    <w:semiHidden/>
    <w:pPr>
      <w:pBdr/>
      <w:spacing/>
      <w:ind/>
    </w:pPr>
    <w:rPr>
      <w:color w:val="666666"/>
    </w:rPr>
  </w:style>
  <w:style w:type="paragraph" w:styleId="1699">
    <w:name w:val="TOC Heading"/>
    <w:uiPriority w:val="39"/>
    <w:unhideWhenUsed/>
    <w:pPr>
      <w:pBdr/>
      <w:spacing/>
      <w:ind/>
    </w:pPr>
  </w:style>
  <w:style w:type="paragraph" w:styleId="1700">
    <w:name w:val="table of figures"/>
    <w:basedOn w:val="1638"/>
    <w:next w:val="1638"/>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Yellow Orange">
      <a:dk1>
        <a:srgbClr val="000000"/>
      </a:dk1>
      <a:lt1>
        <a:srgbClr val="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extraClrScheme>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extraClrScheme>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3</cp:revision>
  <dcterms:created xsi:type="dcterms:W3CDTF">2013-12-23T23:15:00Z</dcterms:created>
  <dcterms:modified xsi:type="dcterms:W3CDTF">2026-06-03T18:04:52Z</dcterms:modified>
  <cp:category/>
</cp:coreProperties>
</file>