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8E858" w14:textId="77777777" w:rsidR="00521B6F" w:rsidRPr="00896D33" w:rsidRDefault="00521B6F" w:rsidP="00521B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</w:rPr>
      </w:pPr>
      <w:r w:rsidRPr="00896D33">
        <w:rPr>
          <w:rFonts w:ascii="CIDFont+F1" w:hAnsi="CIDFont+F1" w:cs="CIDFont+F1"/>
          <w:b/>
          <w:bCs/>
        </w:rPr>
        <w:t>Ryan Long</w:t>
      </w:r>
    </w:p>
    <w:p w14:paraId="49A65F25" w14:textId="77777777" w:rsidR="00521B6F" w:rsidRPr="00896D33" w:rsidRDefault="00521B6F" w:rsidP="00521B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</w:rPr>
      </w:pPr>
      <w:r w:rsidRPr="00896D33">
        <w:rPr>
          <w:rFonts w:ascii="CIDFont+F1" w:hAnsi="CIDFont+F1" w:cs="CIDFont+F1"/>
          <w:b/>
          <w:bCs/>
        </w:rPr>
        <w:t>DSC640</w:t>
      </w:r>
    </w:p>
    <w:p w14:paraId="5A107B6A" w14:textId="659DC834" w:rsidR="00C63408" w:rsidRDefault="00521B6F" w:rsidP="00521B6F">
      <w:pPr>
        <w:spacing w:after="0" w:line="240" w:lineRule="auto"/>
        <w:rPr>
          <w:rFonts w:ascii="CIDFont+F1" w:hAnsi="CIDFont+F1" w:cs="CIDFont+F1"/>
          <w:b/>
          <w:bCs/>
        </w:rPr>
      </w:pPr>
      <w:r>
        <w:rPr>
          <w:rFonts w:ascii="CIDFont+F1" w:hAnsi="CIDFont+F1" w:cs="CIDFont+F1"/>
          <w:b/>
          <w:bCs/>
        </w:rPr>
        <w:t>4</w:t>
      </w:r>
      <w:r w:rsidRPr="00896D33">
        <w:rPr>
          <w:rFonts w:ascii="CIDFont+F1" w:hAnsi="CIDFont+F1" w:cs="CIDFont+F1"/>
          <w:b/>
          <w:bCs/>
        </w:rPr>
        <w:t>.</w:t>
      </w:r>
      <w:r>
        <w:rPr>
          <w:rFonts w:ascii="CIDFont+F1" w:hAnsi="CIDFont+F1" w:cs="CIDFont+F1"/>
          <w:b/>
          <w:bCs/>
        </w:rPr>
        <w:t>3</w:t>
      </w:r>
      <w:r w:rsidRPr="00896D33">
        <w:rPr>
          <w:rFonts w:ascii="CIDFont+F1" w:hAnsi="CIDFont+F1" w:cs="CIDFont+F1"/>
          <w:b/>
          <w:bCs/>
        </w:rPr>
        <w:t xml:space="preserve"> </w:t>
      </w:r>
      <w:r>
        <w:rPr>
          <w:rFonts w:ascii="CIDFont+F1" w:hAnsi="CIDFont+F1" w:cs="CIDFont+F1"/>
          <w:b/>
          <w:bCs/>
        </w:rPr>
        <w:t>Blog Post</w:t>
      </w:r>
    </w:p>
    <w:p w14:paraId="40BAD986" w14:textId="77777777" w:rsidR="0064604C" w:rsidRDefault="0064604C" w:rsidP="00521B6F">
      <w:pPr>
        <w:spacing w:after="0" w:line="240" w:lineRule="auto"/>
        <w:rPr>
          <w:rFonts w:ascii="CIDFont+F1" w:hAnsi="CIDFont+F1" w:cs="CIDFont+F1"/>
          <w:b/>
          <w:bCs/>
        </w:rPr>
      </w:pPr>
    </w:p>
    <w:p w14:paraId="6D900B8B" w14:textId="6B394211" w:rsidR="00E3799E" w:rsidRDefault="00A731EA" w:rsidP="00521B6F">
      <w:pPr>
        <w:spacing w:after="0" w:line="240" w:lineRule="auto"/>
        <w:rPr>
          <w:rFonts w:ascii="CIDFont+F1" w:hAnsi="CIDFont+F1" w:cs="CIDFont+F1"/>
          <w:b/>
          <w:bCs/>
        </w:rPr>
      </w:pPr>
      <w:r>
        <w:rPr>
          <w:rFonts w:ascii="CIDFont+F1" w:hAnsi="CIDFont+F1" w:cs="CIDFont+F1"/>
          <w:b/>
          <w:bCs/>
        </w:rPr>
        <w:t>Commercial Air Travel, Safer Than You Think</w:t>
      </w:r>
      <w:r w:rsidR="00E3799E">
        <w:rPr>
          <w:rFonts w:ascii="CIDFont+F1" w:hAnsi="CIDFont+F1" w:cs="CIDFont+F1"/>
          <w:b/>
          <w:bCs/>
        </w:rPr>
        <w:t>!</w:t>
      </w:r>
    </w:p>
    <w:p w14:paraId="136D566E" w14:textId="3F9A1697" w:rsidR="00CB597D" w:rsidRPr="00CB597D" w:rsidRDefault="00CB597D" w:rsidP="00521B6F">
      <w:pPr>
        <w:spacing w:after="0" w:line="240" w:lineRule="auto"/>
        <w:rPr>
          <w:rFonts w:ascii="CIDFont+F1" w:hAnsi="CIDFont+F1" w:cs="CIDFont+F1"/>
        </w:rPr>
      </w:pPr>
      <w:r w:rsidRPr="00CB597D">
        <w:rPr>
          <w:rFonts w:ascii="CIDFont+F1" w:hAnsi="CIDFont+F1" w:cs="CIDFont+F1"/>
        </w:rPr>
        <w:t xml:space="preserve">Posted January 28, </w:t>
      </w:r>
      <w:r w:rsidR="00172ADA" w:rsidRPr="00CB597D">
        <w:rPr>
          <w:rFonts w:ascii="CIDFont+F1" w:hAnsi="CIDFont+F1" w:cs="CIDFont+F1"/>
        </w:rPr>
        <w:t>20</w:t>
      </w:r>
      <w:r w:rsidR="00EF7A36">
        <w:rPr>
          <w:rFonts w:ascii="CIDFont+F1" w:hAnsi="CIDFont+F1" w:cs="CIDFont+F1"/>
        </w:rPr>
        <w:t>XX</w:t>
      </w:r>
      <w:r>
        <w:rPr>
          <w:rFonts w:ascii="CIDFont+F1" w:hAnsi="CIDFont+F1" w:cs="CIDFont+F1"/>
        </w:rPr>
        <w:t xml:space="preserve"> by RPL</w:t>
      </w:r>
    </w:p>
    <w:p w14:paraId="0C7515E8" w14:textId="4149FDE3" w:rsidR="00E3799E" w:rsidRDefault="00E3799E" w:rsidP="00521B6F">
      <w:pPr>
        <w:spacing w:after="0" w:line="240" w:lineRule="auto"/>
        <w:rPr>
          <w:rFonts w:ascii="CIDFont+F1" w:hAnsi="CIDFont+F1" w:cs="CIDFont+F1"/>
          <w:b/>
          <w:bCs/>
        </w:rPr>
      </w:pPr>
    </w:p>
    <w:p w14:paraId="4E9DD05F" w14:textId="313168BE" w:rsidR="00E3799E" w:rsidRDefault="00E3799E" w:rsidP="008F016A">
      <w:pPr>
        <w:spacing w:after="0" w:line="240" w:lineRule="auto"/>
        <w:ind w:right="-435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You may have been hearing how </w:t>
      </w:r>
      <w:r w:rsidR="00DB3D08">
        <w:rPr>
          <w:rFonts w:ascii="CIDFont+F1" w:hAnsi="CIDFont+F1" w:cs="CIDFont+F1"/>
        </w:rPr>
        <w:t>airlines are</w:t>
      </w:r>
      <w:r>
        <w:rPr>
          <w:rFonts w:ascii="CIDFont+F1" w:hAnsi="CIDFont+F1" w:cs="CIDFont+F1"/>
        </w:rPr>
        <w:t xml:space="preserve"> no</w:t>
      </w:r>
      <w:r w:rsidR="009F417F">
        <w:rPr>
          <w:rFonts w:ascii="CIDFont+F1" w:hAnsi="CIDFont+F1" w:cs="CIDFont+F1"/>
        </w:rPr>
        <w:t>t</w:t>
      </w:r>
      <w:r>
        <w:rPr>
          <w:rFonts w:ascii="CIDFont+F1" w:hAnsi="CIDFont+F1" w:cs="CIDFont+F1"/>
        </w:rPr>
        <w:t xml:space="preserve"> </w:t>
      </w:r>
      <w:r w:rsidR="009F417F">
        <w:rPr>
          <w:rFonts w:ascii="CIDFont+F1" w:hAnsi="CIDFont+F1" w:cs="CIDFont+F1"/>
        </w:rPr>
        <w:t>a</w:t>
      </w:r>
      <w:r>
        <w:rPr>
          <w:rFonts w:ascii="CIDFont+F1" w:hAnsi="CIDFont+F1" w:cs="CIDFont+F1"/>
        </w:rPr>
        <w:t xml:space="preserve"> safe way to travel. </w:t>
      </w:r>
      <w:r w:rsidR="00E45B91">
        <w:rPr>
          <w:rFonts w:ascii="CIDFont+F1" w:hAnsi="CIDFont+F1" w:cs="CIDFont+F1"/>
        </w:rPr>
        <w:t>There are u</w:t>
      </w:r>
      <w:r>
        <w:rPr>
          <w:rFonts w:ascii="CIDFont+F1" w:hAnsi="CIDFont+F1" w:cs="CIDFont+F1"/>
        </w:rPr>
        <w:t>nsubstantiated claims circling around in the media lately and we here at ABC Airlines want to set the record straight</w:t>
      </w:r>
      <w:r w:rsidR="00E45B91">
        <w:rPr>
          <w:rFonts w:ascii="CIDFont+F1" w:hAnsi="CIDFont+F1" w:cs="CIDFont+F1"/>
        </w:rPr>
        <w:t xml:space="preserve"> with facts and data.</w:t>
      </w:r>
    </w:p>
    <w:p w14:paraId="554E3D2E" w14:textId="77777777" w:rsidR="00154902" w:rsidRDefault="00154902" w:rsidP="00154902">
      <w:pPr>
        <w:spacing w:after="0" w:line="240" w:lineRule="auto"/>
        <w:rPr>
          <w:rFonts w:ascii="CIDFont+F1" w:hAnsi="CIDFont+F1" w:cs="CIDFont+F1"/>
        </w:rPr>
      </w:pPr>
    </w:p>
    <w:p w14:paraId="20E2A995" w14:textId="2CF90BFC" w:rsidR="00154902" w:rsidRDefault="00154902" w:rsidP="00154902">
      <w:pPr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Airline travel has been the safest mode of transportation and will continue to be for years to come. </w:t>
      </w:r>
      <w:r w:rsidR="00172ADA">
        <w:rPr>
          <w:rFonts w:ascii="CIDFont+F1" w:hAnsi="CIDFont+F1" w:cs="CIDFont+F1"/>
        </w:rPr>
        <w:t>According to data from the</w:t>
      </w:r>
      <w:r>
        <w:rPr>
          <w:rFonts w:ascii="CIDFont+F1" w:hAnsi="CIDFont+F1" w:cs="CIDFont+F1"/>
        </w:rPr>
        <w:t xml:space="preserve"> the National Transportation Safety Board (NTSB)</w:t>
      </w:r>
      <w:r w:rsidR="00E45B91">
        <w:rPr>
          <w:rFonts w:ascii="CIDFont+F1" w:hAnsi="CIDFont+F1" w:cs="CIDFont+F1"/>
        </w:rPr>
        <w:t>,</w:t>
      </w:r>
      <w:r w:rsidR="00334D5C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 xml:space="preserve">over the past </w:t>
      </w:r>
      <w:r w:rsidR="00DB3D08">
        <w:rPr>
          <w:rFonts w:ascii="CIDFont+F1" w:hAnsi="CIDFont+F1" w:cs="CIDFont+F1"/>
        </w:rPr>
        <w:t>1</w:t>
      </w:r>
      <w:r>
        <w:rPr>
          <w:rFonts w:ascii="CIDFont+F1" w:hAnsi="CIDFont+F1" w:cs="CIDFont+F1"/>
        </w:rPr>
        <w:t>0 years</w:t>
      </w:r>
      <w:r w:rsidR="00172ADA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injuries or fatalities</w:t>
      </w:r>
      <w:r w:rsidR="00E45B91">
        <w:rPr>
          <w:rFonts w:ascii="CIDFont+F1" w:hAnsi="CIDFont+F1" w:cs="CIDFont+F1"/>
        </w:rPr>
        <w:t xml:space="preserve"> are very rare occurrences</w:t>
      </w:r>
      <w:r>
        <w:rPr>
          <w:rFonts w:ascii="CIDFont+F1" w:hAnsi="CIDFont+F1" w:cs="CIDFont+F1"/>
        </w:rPr>
        <w:t xml:space="preserve"> in commercial air travel.</w:t>
      </w:r>
      <w:r w:rsidR="00E151D3">
        <w:rPr>
          <w:rFonts w:ascii="CIDFont+F1" w:hAnsi="CIDFont+F1" w:cs="CIDFont+F1"/>
        </w:rPr>
        <w:t xml:space="preserve"> For the period 2010-2019 there were only 3 fatalities and 40 injuries</w:t>
      </w:r>
      <w:r w:rsidR="00DB3D08">
        <w:rPr>
          <w:rFonts w:ascii="CIDFont+F1" w:hAnsi="CIDFont+F1" w:cs="CIDFont+F1"/>
        </w:rPr>
        <w:t>, see the chart below.</w:t>
      </w:r>
    </w:p>
    <w:p w14:paraId="32908901" w14:textId="77777777" w:rsidR="00154902" w:rsidRDefault="00154902" w:rsidP="00154902">
      <w:pPr>
        <w:spacing w:after="0" w:line="240" w:lineRule="auto"/>
        <w:rPr>
          <w:rFonts w:ascii="CIDFont+F1" w:hAnsi="CIDFont+F1" w:cs="CIDFont+F1"/>
        </w:rPr>
      </w:pPr>
    </w:p>
    <w:p w14:paraId="7A4C0622" w14:textId="7A3E3ECB" w:rsidR="00154902" w:rsidRDefault="00154902" w:rsidP="00154902">
      <w:pPr>
        <w:spacing w:after="0" w:line="240" w:lineRule="auto"/>
        <w:rPr>
          <w:rFonts w:ascii="CIDFont+F1" w:hAnsi="CIDFont+F1" w:cs="CIDFont+F1"/>
        </w:rPr>
      </w:pPr>
      <w:r w:rsidRPr="00154902">
        <w:rPr>
          <w:rFonts w:ascii="CIDFont+F1" w:hAnsi="CIDFont+F1" w:cs="CIDFont+F1"/>
          <w:noProof/>
        </w:rPr>
        <w:drawing>
          <wp:inline distT="0" distB="0" distL="0" distR="0" wp14:anchorId="40FBF94B" wp14:editId="22A5D94B">
            <wp:extent cx="5943600" cy="377698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1A74" w14:textId="77777777" w:rsidR="00172ADA" w:rsidRDefault="00172ADA" w:rsidP="00154902">
      <w:pPr>
        <w:spacing w:after="0" w:line="240" w:lineRule="auto"/>
        <w:rPr>
          <w:rFonts w:ascii="CIDFont+F1" w:hAnsi="CIDFont+F1" w:cs="CIDFont+F1"/>
        </w:rPr>
      </w:pPr>
    </w:p>
    <w:p w14:paraId="5FEC8ABC" w14:textId="77777777" w:rsidR="008811CE" w:rsidRDefault="008811CE" w:rsidP="00154902">
      <w:pPr>
        <w:spacing w:after="0" w:line="240" w:lineRule="auto"/>
        <w:rPr>
          <w:rFonts w:ascii="CIDFont+F1" w:hAnsi="CIDFont+F1" w:cs="CIDFont+F1"/>
        </w:rPr>
      </w:pPr>
    </w:p>
    <w:p w14:paraId="6DAB758E" w14:textId="64D3BA46" w:rsidR="008811CE" w:rsidRDefault="00154902" w:rsidP="00154902">
      <w:pPr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The NTSB also has data on motor vehicle travel as well. Th</w:t>
      </w:r>
      <w:r w:rsidR="00E151D3">
        <w:rPr>
          <w:rFonts w:ascii="CIDFont+F1" w:hAnsi="CIDFont+F1" w:cs="CIDFont+F1"/>
        </w:rPr>
        <w:t>is mode of transportation has</w:t>
      </w:r>
      <w:r>
        <w:rPr>
          <w:rFonts w:ascii="CIDFont+F1" w:hAnsi="CIDFont+F1" w:cs="CIDFont+F1"/>
        </w:rPr>
        <w:t xml:space="preserve"> </w:t>
      </w:r>
      <w:r w:rsidR="00E151D3">
        <w:rPr>
          <w:rFonts w:ascii="CIDFont+F1" w:hAnsi="CIDFont+F1" w:cs="CIDFont+F1"/>
        </w:rPr>
        <w:t xml:space="preserve">had </w:t>
      </w:r>
      <w:r>
        <w:rPr>
          <w:rFonts w:ascii="CIDFont+F1" w:hAnsi="CIDFont+F1" w:cs="CIDFont+F1"/>
        </w:rPr>
        <w:t>injuries</w:t>
      </w:r>
      <w:r w:rsidR="009A2380">
        <w:rPr>
          <w:rFonts w:ascii="CIDFont+F1" w:hAnsi="CIDFont+F1" w:cs="CIDFont+F1"/>
        </w:rPr>
        <w:t xml:space="preserve"> in the millions</w:t>
      </w:r>
      <w:r>
        <w:rPr>
          <w:rFonts w:ascii="CIDFont+F1" w:hAnsi="CIDFont+F1" w:cs="CIDFont+F1"/>
        </w:rPr>
        <w:t xml:space="preserve"> and fatalities</w:t>
      </w:r>
      <w:r w:rsidR="009A2380">
        <w:rPr>
          <w:rFonts w:ascii="CIDFont+F1" w:hAnsi="CIDFont+F1" w:cs="CIDFont+F1"/>
        </w:rPr>
        <w:t xml:space="preserve"> in the thousands</w:t>
      </w:r>
      <w:r>
        <w:rPr>
          <w:rFonts w:ascii="CIDFont+F1" w:hAnsi="CIDFont+F1" w:cs="CIDFont+F1"/>
        </w:rPr>
        <w:t xml:space="preserve"> </w:t>
      </w:r>
      <w:r w:rsidR="00E151D3">
        <w:rPr>
          <w:rFonts w:ascii="CIDFont+F1" w:hAnsi="CIDFont+F1" w:cs="CIDFont+F1"/>
        </w:rPr>
        <w:t>over the same perio</w:t>
      </w:r>
      <w:r w:rsidR="00DB3D08">
        <w:rPr>
          <w:rFonts w:ascii="CIDFont+F1" w:hAnsi="CIDFont+F1" w:cs="CIDFont+F1"/>
        </w:rPr>
        <w:t>d, 2010-2019</w:t>
      </w:r>
      <w:r>
        <w:rPr>
          <w:rFonts w:ascii="CIDFont+F1" w:hAnsi="CIDFont+F1" w:cs="CIDFont+F1"/>
        </w:rPr>
        <w:t>.</w:t>
      </w:r>
    </w:p>
    <w:p w14:paraId="51942F7A" w14:textId="583B8C28" w:rsidR="00154902" w:rsidRDefault="00154902" w:rsidP="00154902">
      <w:pPr>
        <w:spacing w:after="0" w:line="240" w:lineRule="auto"/>
        <w:rPr>
          <w:rFonts w:ascii="CIDFont+F1" w:hAnsi="CIDFont+F1" w:cs="CIDFont+F1"/>
        </w:rPr>
      </w:pPr>
    </w:p>
    <w:p w14:paraId="3CEE2F2A" w14:textId="0DCF3D05" w:rsidR="00154902" w:rsidRDefault="00473D6F" w:rsidP="00154902">
      <w:pPr>
        <w:spacing w:after="0" w:line="240" w:lineRule="auto"/>
        <w:rPr>
          <w:rFonts w:ascii="CIDFont+F1" w:hAnsi="CIDFont+F1" w:cs="CIDFont+F1"/>
        </w:rPr>
      </w:pPr>
      <w:r w:rsidRPr="00473D6F">
        <w:rPr>
          <w:rFonts w:ascii="CIDFont+F1" w:hAnsi="CIDFont+F1" w:cs="CIDFont+F1"/>
          <w:noProof/>
        </w:rPr>
        <w:lastRenderedPageBreak/>
        <w:drawing>
          <wp:inline distT="0" distB="0" distL="0" distR="0" wp14:anchorId="626490C0" wp14:editId="2978861B">
            <wp:extent cx="5943600" cy="3989070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2397" w14:textId="77777777" w:rsidR="008811CE" w:rsidRDefault="008811CE" w:rsidP="00521B6F">
      <w:pPr>
        <w:spacing w:after="0" w:line="240" w:lineRule="auto"/>
        <w:rPr>
          <w:rFonts w:ascii="CIDFont+F1" w:hAnsi="CIDFont+F1" w:cs="CIDFont+F1"/>
        </w:rPr>
      </w:pPr>
    </w:p>
    <w:p w14:paraId="0A1028A1" w14:textId="0267987A" w:rsidR="00154902" w:rsidRDefault="00154902" w:rsidP="00521B6F">
      <w:pPr>
        <w:spacing w:after="0" w:line="240" w:lineRule="auto"/>
        <w:rPr>
          <w:rFonts w:ascii="CIDFont+F1" w:hAnsi="CIDFont+F1" w:cs="CIDFont+F1"/>
        </w:rPr>
      </w:pPr>
    </w:p>
    <w:p w14:paraId="1DD43BF5" w14:textId="13C8F2BC" w:rsidR="007226C0" w:rsidRDefault="009A2380" w:rsidP="009A2380">
      <w:pPr>
        <w:spacing w:after="0" w:line="240" w:lineRule="auto"/>
        <w:rPr>
          <w:rFonts w:ascii="CIDFont+F1" w:hAnsi="CIDFont+F1" w:cs="CIDFont+F1"/>
        </w:rPr>
      </w:pPr>
      <w:r w:rsidRPr="00CB597D">
        <w:rPr>
          <w:rFonts w:ascii="CIDFont+F1" w:hAnsi="CIDFont+F1" w:cs="CIDFont+F1"/>
          <w:noProof/>
        </w:rPr>
        <w:drawing>
          <wp:anchor distT="0" distB="0" distL="114300" distR="114300" simplePos="0" relativeHeight="251659264" behindDoc="0" locked="0" layoutInCell="1" allowOverlap="1" wp14:anchorId="0106F6EB" wp14:editId="06B9FAF0">
            <wp:simplePos x="0" y="0"/>
            <wp:positionH relativeFrom="margin">
              <wp:align>right</wp:align>
            </wp:positionH>
            <wp:positionV relativeFrom="paragraph">
              <wp:posOffset>55245</wp:posOffset>
            </wp:positionV>
            <wp:extent cx="4106545" cy="2257425"/>
            <wp:effectExtent l="0" t="0" r="8255" b="9525"/>
            <wp:wrapSquare wrapText="bothSides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ADA">
        <w:rPr>
          <w:rFonts w:ascii="CIDFont+F1" w:hAnsi="CIDFont+F1" w:cs="CIDFont+F1"/>
        </w:rPr>
        <w:t>More recent</w:t>
      </w:r>
      <w:r w:rsidR="009F417F">
        <w:rPr>
          <w:rFonts w:ascii="CIDFont+F1" w:hAnsi="CIDFont+F1" w:cs="CIDFont+F1"/>
        </w:rPr>
        <w:t xml:space="preserve"> </w:t>
      </w:r>
      <w:r w:rsidR="007314FB">
        <w:rPr>
          <w:rFonts w:ascii="CIDFont+F1" w:hAnsi="CIDFont+F1" w:cs="CIDFont+F1"/>
        </w:rPr>
        <w:t>data</w:t>
      </w:r>
      <w:r w:rsidR="00DB3D08">
        <w:rPr>
          <w:rFonts w:ascii="CIDFont+F1" w:hAnsi="CIDFont+F1" w:cs="CIDFont+F1"/>
        </w:rPr>
        <w:t>,</w:t>
      </w:r>
      <w:r w:rsidR="007314FB">
        <w:rPr>
          <w:rFonts w:ascii="CIDFont+F1" w:hAnsi="CIDFont+F1" w:cs="CIDFont+F1"/>
        </w:rPr>
        <w:t xml:space="preserve"> displayed to the right</w:t>
      </w:r>
      <w:r w:rsidR="00DB3D08">
        <w:rPr>
          <w:rFonts w:ascii="CIDFont+F1" w:hAnsi="CIDFont+F1" w:cs="CIDFont+F1"/>
        </w:rPr>
        <w:t>,</w:t>
      </w:r>
      <w:r w:rsidR="009F417F">
        <w:rPr>
          <w:rFonts w:ascii="CIDFont+F1" w:hAnsi="CIDFont+F1" w:cs="CIDFont+F1"/>
        </w:rPr>
        <w:t xml:space="preserve"> issued by the Bureau of Transportation Statistics (BTS) </w:t>
      </w:r>
      <w:r w:rsidR="00172ADA">
        <w:rPr>
          <w:rFonts w:ascii="CIDFont+F1" w:hAnsi="CIDFont+F1" w:cs="CIDFont+F1"/>
        </w:rPr>
        <w:t xml:space="preserve">indicates </w:t>
      </w:r>
      <w:r w:rsidR="009F417F">
        <w:rPr>
          <w:rFonts w:ascii="CIDFont+F1" w:hAnsi="CIDFont+F1" w:cs="CIDFont+F1"/>
        </w:rPr>
        <w:t xml:space="preserve">there were no fatalities </w:t>
      </w:r>
      <w:r w:rsidR="007314FB">
        <w:rPr>
          <w:rFonts w:ascii="CIDFont+F1" w:hAnsi="CIDFont+F1" w:cs="CIDFont+F1"/>
        </w:rPr>
        <w:t xml:space="preserve">in 2020 </w:t>
      </w:r>
      <w:r w:rsidR="009F417F">
        <w:rPr>
          <w:rFonts w:ascii="CIDFont+F1" w:hAnsi="CIDFont+F1" w:cs="CIDFont+F1"/>
        </w:rPr>
        <w:t xml:space="preserve">on US Air Carriers. There were 349 deaths in the air, but </w:t>
      </w:r>
      <w:r w:rsidR="00DB3D08">
        <w:rPr>
          <w:rFonts w:ascii="CIDFont+F1" w:hAnsi="CIDFont+F1" w:cs="CIDFont+F1"/>
        </w:rPr>
        <w:t>those</w:t>
      </w:r>
      <w:r w:rsidR="00172ADA">
        <w:rPr>
          <w:rFonts w:ascii="CIDFont+F1" w:hAnsi="CIDFont+F1" w:cs="CIDFont+F1"/>
        </w:rPr>
        <w:t xml:space="preserve"> were</w:t>
      </w:r>
      <w:r w:rsidR="009F417F">
        <w:rPr>
          <w:rFonts w:ascii="CIDFont+F1" w:hAnsi="CIDFont+F1" w:cs="CIDFont+F1"/>
        </w:rPr>
        <w:t xml:space="preserve"> in the commuter carrier, on-demand taxi, general aviation subcategories. </w:t>
      </w:r>
      <w:r w:rsidR="00DB3D08">
        <w:rPr>
          <w:rFonts w:ascii="CIDFont+F1" w:hAnsi="CIDFont+F1" w:cs="CIDFont+F1"/>
        </w:rPr>
        <w:t>Comparatively, t</w:t>
      </w:r>
      <w:r w:rsidR="008811CE">
        <w:rPr>
          <w:rFonts w:ascii="CIDFont+F1" w:hAnsi="CIDFont+F1" w:cs="CIDFont+F1"/>
        </w:rPr>
        <w:t>here were 40,587 deaths for Highway and other</w:t>
      </w:r>
      <w:r w:rsidR="00DB3D08">
        <w:rPr>
          <w:rFonts w:ascii="CIDFont+F1" w:hAnsi="CIDFont+F1" w:cs="CIDFont+F1"/>
        </w:rPr>
        <w:t xml:space="preserve"> [1]</w:t>
      </w:r>
      <w:r w:rsidR="008811CE">
        <w:rPr>
          <w:rFonts w:ascii="CIDFont+F1" w:hAnsi="CIDFont+F1" w:cs="CIDFont+F1"/>
        </w:rPr>
        <w:t xml:space="preserve"> modes of travel</w:t>
      </w:r>
      <w:r w:rsidR="00E151D3">
        <w:rPr>
          <w:rFonts w:ascii="CIDFont+F1" w:hAnsi="CIDFont+F1" w:cs="CIDFont+F1"/>
        </w:rPr>
        <w:t xml:space="preserve"> in the same year</w:t>
      </w:r>
      <w:r w:rsidR="008811CE">
        <w:rPr>
          <w:rFonts w:ascii="CIDFont+F1" w:hAnsi="CIDFont+F1" w:cs="CIDFont+F1"/>
        </w:rPr>
        <w:t xml:space="preserve">. </w:t>
      </w:r>
    </w:p>
    <w:p w14:paraId="49A5B1F1" w14:textId="74A834BA" w:rsidR="009A2380" w:rsidRDefault="009A2380" w:rsidP="009A2380">
      <w:pPr>
        <w:spacing w:after="0" w:line="240" w:lineRule="auto"/>
        <w:rPr>
          <w:rFonts w:ascii="CIDFont+F1" w:hAnsi="CIDFont+F1" w:cs="CIDFont+F1"/>
        </w:rPr>
      </w:pPr>
    </w:p>
    <w:p w14:paraId="73FBBD07" w14:textId="77777777" w:rsidR="009A2380" w:rsidRDefault="009A2380" w:rsidP="009A2380">
      <w:pPr>
        <w:spacing w:after="0" w:line="240" w:lineRule="auto"/>
        <w:rPr>
          <w:rFonts w:ascii="CIDFont+F1" w:hAnsi="CIDFont+F1" w:cs="CIDFont+F1"/>
        </w:rPr>
      </w:pPr>
    </w:p>
    <w:p w14:paraId="64A8750F" w14:textId="77777777" w:rsidR="00F40FC3" w:rsidRDefault="007226C0" w:rsidP="009A2380">
      <w:pPr>
        <w:rPr>
          <w:rFonts w:ascii="CIDFont+F1" w:hAnsi="CIDFont+F1" w:cs="CIDFont+F1"/>
        </w:rPr>
      </w:pPr>
      <w:r>
        <w:rPr>
          <w:rFonts w:ascii="CIDFont+F1" w:hAnsi="CIDFont+F1" w:cs="CIDFont+F1"/>
        </w:rPr>
        <w:br w:type="page"/>
      </w:r>
    </w:p>
    <w:p w14:paraId="61C05A18" w14:textId="77777777" w:rsidR="009A2380" w:rsidRDefault="009A2380" w:rsidP="009A2380">
      <w:pPr>
        <w:rPr>
          <w:rFonts w:ascii="CIDFont+F1" w:hAnsi="CIDFont+F1" w:cs="CIDFont+F1"/>
        </w:rPr>
      </w:pPr>
    </w:p>
    <w:p w14:paraId="3E08B45A" w14:textId="2D9FAD19" w:rsidR="009A2380" w:rsidRDefault="009A2380" w:rsidP="009A2380">
      <w:pPr>
        <w:rPr>
          <w:rFonts w:ascii="CIDFont+F1" w:hAnsi="CIDFont+F1" w:cs="CIDFont+F1"/>
        </w:rPr>
        <w:sectPr w:rsidR="009A2380" w:rsidSect="007314FB">
          <w:pgSz w:w="12240" w:h="15840"/>
          <w:pgMar w:top="1440" w:right="1440" w:bottom="1440" w:left="1440" w:header="720" w:footer="720" w:gutter="0"/>
          <w:cols w:space="180"/>
          <w:docGrid w:linePitch="360"/>
        </w:sectPr>
      </w:pPr>
    </w:p>
    <w:p w14:paraId="3BBD19D0" w14:textId="77777777" w:rsidR="00F40FC3" w:rsidRDefault="00F40FC3" w:rsidP="00F40FC3">
      <w:pPr>
        <w:spacing w:after="0" w:line="240" w:lineRule="auto"/>
        <w:rPr>
          <w:rFonts w:ascii="CIDFont+F1" w:hAnsi="CIDFont+F1" w:cs="CIDFont+F1"/>
        </w:rPr>
      </w:pPr>
    </w:p>
    <w:p w14:paraId="4CDBEFF6" w14:textId="49034DA5" w:rsidR="00F40FC3" w:rsidRDefault="006222FC" w:rsidP="00F40FC3">
      <w:pPr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  <w:noProof/>
        </w:rPr>
        <w:drawing>
          <wp:anchor distT="0" distB="0" distL="114300" distR="114300" simplePos="0" relativeHeight="251658240" behindDoc="0" locked="0" layoutInCell="1" allowOverlap="1" wp14:anchorId="1DF4D952" wp14:editId="7E6D7269">
            <wp:simplePos x="914400" y="933450"/>
            <wp:positionH relativeFrom="margin">
              <wp:align>left</wp:align>
            </wp:positionH>
            <wp:positionV relativeFrom="margin">
              <wp:align>top</wp:align>
            </wp:positionV>
            <wp:extent cx="2876550" cy="1714500"/>
            <wp:effectExtent l="0" t="19050" r="0" b="0"/>
            <wp:wrapSquare wrapText="bothSides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  <w:r w:rsidR="00F40FC3">
        <w:rPr>
          <w:rFonts w:ascii="CIDFont+F1" w:hAnsi="CIDFont+F1" w:cs="CIDFont+F1"/>
        </w:rPr>
        <w:t>Statistically speaking, when comparing the fatalities by hours</w:t>
      </w:r>
      <w:r w:rsidR="00DB3D08">
        <w:rPr>
          <w:rFonts w:ascii="CIDFont+F1" w:hAnsi="CIDFont+F1" w:cs="CIDFont+F1"/>
        </w:rPr>
        <w:t xml:space="preserve"> [2]</w:t>
      </w:r>
      <w:r w:rsidR="00F40FC3">
        <w:rPr>
          <w:rFonts w:ascii="CIDFont+F1" w:hAnsi="CIDFont+F1" w:cs="CIDFont+F1"/>
        </w:rPr>
        <w:t xml:space="preserve"> of travel </w:t>
      </w:r>
      <w:r w:rsidR="009A2380">
        <w:rPr>
          <w:rFonts w:ascii="CIDFont+F1" w:hAnsi="CIDFont+F1" w:cs="CIDFont+F1"/>
        </w:rPr>
        <w:t>for each mode</w:t>
      </w:r>
      <w:r w:rsidR="00F40FC3">
        <w:rPr>
          <w:rFonts w:ascii="CIDFont+F1" w:hAnsi="CIDFont+F1" w:cs="CIDFont+F1"/>
        </w:rPr>
        <w:t>, it clearly shows fatalities are likely to occur</w:t>
      </w:r>
      <w:r w:rsidR="009A2380">
        <w:rPr>
          <w:rFonts w:ascii="CIDFont+F1" w:hAnsi="CIDFont+F1" w:cs="CIDFont+F1"/>
        </w:rPr>
        <w:t xml:space="preserve"> more frequently</w:t>
      </w:r>
      <w:r w:rsidR="00F40FC3">
        <w:rPr>
          <w:rFonts w:ascii="CIDFont+F1" w:hAnsi="CIDFont+F1" w:cs="CIDFont+F1"/>
        </w:rPr>
        <w:t xml:space="preserve"> when driving compared to flying.</w:t>
      </w:r>
    </w:p>
    <w:p w14:paraId="54086C5F" w14:textId="5D7ED807" w:rsidR="00E16340" w:rsidRDefault="00E16340" w:rsidP="00521B6F">
      <w:pPr>
        <w:spacing w:after="0" w:line="240" w:lineRule="auto"/>
        <w:rPr>
          <w:rFonts w:ascii="CIDFont+F1" w:hAnsi="CIDFont+F1" w:cs="CIDFont+F1"/>
        </w:rPr>
      </w:pPr>
    </w:p>
    <w:p w14:paraId="390283FC" w14:textId="308E1B5C" w:rsidR="00F40FC3" w:rsidRDefault="00F40FC3" w:rsidP="00521B6F">
      <w:pPr>
        <w:spacing w:after="0" w:line="240" w:lineRule="auto"/>
        <w:rPr>
          <w:rFonts w:ascii="CIDFont+F1" w:hAnsi="CIDFont+F1" w:cs="CIDFont+F1"/>
        </w:rPr>
      </w:pPr>
    </w:p>
    <w:p w14:paraId="56BC76D5" w14:textId="17279E20" w:rsidR="00F40FC3" w:rsidRDefault="00F40FC3" w:rsidP="00521B6F">
      <w:pPr>
        <w:spacing w:after="0" w:line="240" w:lineRule="auto"/>
        <w:rPr>
          <w:rFonts w:ascii="CIDFont+F1" w:hAnsi="CIDFont+F1" w:cs="CIDFont+F1"/>
        </w:rPr>
      </w:pPr>
    </w:p>
    <w:p w14:paraId="65E9F5CF" w14:textId="5B87EB47" w:rsidR="00F40FC3" w:rsidRDefault="00F40FC3" w:rsidP="00521B6F">
      <w:pPr>
        <w:spacing w:after="0" w:line="240" w:lineRule="auto"/>
        <w:rPr>
          <w:rFonts w:ascii="CIDFont+F1" w:hAnsi="CIDFont+F1" w:cs="CIDFont+F1"/>
        </w:rPr>
      </w:pPr>
    </w:p>
    <w:p w14:paraId="0859DDE9" w14:textId="7AA2E252" w:rsidR="00F40FC3" w:rsidRDefault="00F40FC3" w:rsidP="00521B6F">
      <w:pPr>
        <w:spacing w:after="0" w:line="240" w:lineRule="auto"/>
        <w:rPr>
          <w:rFonts w:ascii="CIDFont+F1" w:hAnsi="CIDFont+F1" w:cs="CIDFont+F1"/>
        </w:rPr>
      </w:pPr>
    </w:p>
    <w:p w14:paraId="55D16A36" w14:textId="5AD99F20" w:rsidR="00F40FC3" w:rsidRDefault="00E151D3" w:rsidP="00521B6F">
      <w:pPr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The</w:t>
      </w:r>
      <w:r w:rsidR="003A7B85">
        <w:rPr>
          <w:rFonts w:ascii="CIDFont+F1" w:hAnsi="CIDFont+F1" w:cs="CIDFont+F1"/>
        </w:rPr>
        <w:t xml:space="preserve"> current</w:t>
      </w:r>
      <w:r>
        <w:rPr>
          <w:rFonts w:ascii="CIDFont+F1" w:hAnsi="CIDFont+F1" w:cs="CIDFont+F1"/>
        </w:rPr>
        <w:t xml:space="preserve"> media</w:t>
      </w:r>
      <w:r w:rsidR="003A7B85">
        <w:rPr>
          <w:rFonts w:ascii="CIDFont+F1" w:hAnsi="CIDFont+F1" w:cs="CIDFont+F1"/>
        </w:rPr>
        <w:t xml:space="preserve"> cycle</w:t>
      </w:r>
      <w:r>
        <w:rPr>
          <w:rFonts w:ascii="CIDFont+F1" w:hAnsi="CIDFont+F1" w:cs="CIDFont+F1"/>
        </w:rPr>
        <w:t xml:space="preserve"> is </w:t>
      </w:r>
      <w:r w:rsidR="003A7B85">
        <w:rPr>
          <w:rFonts w:ascii="CIDFont+F1" w:hAnsi="CIDFont+F1" w:cs="CIDFont+F1"/>
        </w:rPr>
        <w:t>blurring incidents</w:t>
      </w:r>
      <w:r w:rsidR="00DB3D08">
        <w:rPr>
          <w:rFonts w:ascii="CIDFont+F1" w:hAnsi="CIDFont+F1" w:cs="CIDFont+F1"/>
        </w:rPr>
        <w:t xml:space="preserve"> in the</w:t>
      </w:r>
      <w:r w:rsidR="003A7B85">
        <w:rPr>
          <w:rFonts w:ascii="CIDFont+F1" w:hAnsi="CIDFont+F1" w:cs="CIDFont+F1"/>
        </w:rPr>
        <w:t xml:space="preserve"> commuter carrier, on-demand taxi, and general aviation subcategories with commercial air. </w:t>
      </w:r>
      <w:r w:rsidR="00FD5E38">
        <w:rPr>
          <w:rFonts w:ascii="CIDFont+F1" w:hAnsi="CIDFont+F1" w:cs="CIDFont+F1"/>
        </w:rPr>
        <w:t xml:space="preserve">Given the information discussed above, </w:t>
      </w:r>
      <w:r w:rsidR="003A7B85">
        <w:rPr>
          <w:rFonts w:ascii="CIDFont+F1" w:hAnsi="CIDFont+F1" w:cs="CIDFont+F1"/>
        </w:rPr>
        <w:t xml:space="preserve">commercial </w:t>
      </w:r>
      <w:r w:rsidR="00FD5E38">
        <w:rPr>
          <w:rFonts w:ascii="CIDFont+F1" w:hAnsi="CIDFont+F1" w:cs="CIDFont+F1"/>
        </w:rPr>
        <w:t xml:space="preserve">airline travel has been and will continue to be the safest method of travel despite the </w:t>
      </w:r>
      <w:r w:rsidR="003A7B85">
        <w:rPr>
          <w:rFonts w:ascii="CIDFont+F1" w:hAnsi="CIDFont+F1" w:cs="CIDFont+F1"/>
        </w:rPr>
        <w:t>misrepresentations</w:t>
      </w:r>
      <w:r w:rsidR="00FD5E38">
        <w:rPr>
          <w:rFonts w:ascii="CIDFont+F1" w:hAnsi="CIDFont+F1" w:cs="CIDFont+F1"/>
        </w:rPr>
        <w:t xml:space="preserve"> circulating in the media.</w:t>
      </w:r>
      <w:r w:rsidR="003A7B85">
        <w:rPr>
          <w:rFonts w:ascii="CIDFont+F1" w:hAnsi="CIDFont+F1" w:cs="CIDFont+F1"/>
        </w:rPr>
        <w:t xml:space="preserve"> As a US based commercial air carrier, ABC airlines is committed to the highest degree of safety and training to maintain the welfare and loyalty of our customers.</w:t>
      </w:r>
    </w:p>
    <w:p w14:paraId="1F6AA9F9" w14:textId="2B2243C1" w:rsidR="00F40FC3" w:rsidRDefault="00F40FC3" w:rsidP="00521B6F">
      <w:pPr>
        <w:spacing w:after="0" w:line="240" w:lineRule="auto"/>
        <w:rPr>
          <w:rFonts w:ascii="CIDFont+F1" w:hAnsi="CIDFont+F1" w:cs="CIDFont+F1"/>
        </w:rPr>
      </w:pPr>
    </w:p>
    <w:p w14:paraId="0399BF0C" w14:textId="014705E9" w:rsidR="00DB3D08" w:rsidRDefault="00DB3D08" w:rsidP="00C94AA7">
      <w:pPr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Footnotes:</w:t>
      </w:r>
    </w:p>
    <w:p w14:paraId="6FF169A6" w14:textId="365F5DAE" w:rsidR="00C94AA7" w:rsidRDefault="00DB3D08" w:rsidP="00C94AA7">
      <w:pPr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[1]</w:t>
      </w:r>
      <w:r w:rsidR="00C94AA7">
        <w:rPr>
          <w:rFonts w:ascii="CIDFont+F1" w:hAnsi="CIDFont+F1" w:cs="CIDFont+F1"/>
        </w:rPr>
        <w:t xml:space="preserve"> </w:t>
      </w:r>
      <w:r w:rsidR="00C94AA7" w:rsidRPr="00C94AA7">
        <w:rPr>
          <w:rFonts w:ascii="CIDFont+F1" w:hAnsi="CIDFont+F1" w:cs="CIDFont+F1"/>
        </w:rPr>
        <w:t>Other categories include Pipeline, Railroad, Transit, Water</w:t>
      </w:r>
    </w:p>
    <w:p w14:paraId="0650EBE7" w14:textId="6B444D88" w:rsidR="00473D6F" w:rsidRPr="00C94AA7" w:rsidRDefault="00DB3D08" w:rsidP="00C94AA7">
      <w:pPr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[2]</w:t>
      </w:r>
      <w:r w:rsidR="00473D6F">
        <w:rPr>
          <w:rFonts w:ascii="CIDFont+F1" w:hAnsi="CIDFont+F1" w:cs="CIDFont+F1"/>
        </w:rPr>
        <w:t xml:space="preserve"> Hours driven is calculated from miles traveled</w:t>
      </w:r>
      <w:r w:rsidR="00C0531A">
        <w:rPr>
          <w:rFonts w:ascii="CIDFont+F1" w:hAnsi="CIDFont+F1" w:cs="CIDFont+F1"/>
        </w:rPr>
        <w:t xml:space="preserve"> in 2019</w:t>
      </w:r>
      <w:r w:rsidR="00473D6F">
        <w:rPr>
          <w:rFonts w:ascii="CIDFont+F1" w:hAnsi="CIDFont+F1" w:cs="CIDFont+F1"/>
        </w:rPr>
        <w:t xml:space="preserve"> at an average of 60 mph</w:t>
      </w:r>
    </w:p>
    <w:p w14:paraId="396A988C" w14:textId="77777777" w:rsidR="00DE796D" w:rsidRDefault="00DE796D" w:rsidP="00521B6F">
      <w:pPr>
        <w:spacing w:after="0" w:line="240" w:lineRule="auto"/>
        <w:rPr>
          <w:rFonts w:ascii="CIDFont+F1" w:hAnsi="CIDFont+F1" w:cs="CIDFont+F1"/>
        </w:rPr>
      </w:pPr>
    </w:p>
    <w:p w14:paraId="49A93707" w14:textId="158C10BB" w:rsidR="00C94AA7" w:rsidRDefault="00C94AA7" w:rsidP="00521B6F">
      <w:pPr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References:</w:t>
      </w:r>
    </w:p>
    <w:p w14:paraId="30B063F4" w14:textId="77777777" w:rsidR="004D5540" w:rsidRPr="004D5540" w:rsidRDefault="00DB3D08" w:rsidP="004D5540">
      <w:pPr>
        <w:spacing w:after="0" w:line="240" w:lineRule="auto"/>
        <w:rPr>
          <w:rFonts w:ascii="CIDFont+F1" w:hAnsi="CIDFont+F1" w:cs="CIDFont+F1"/>
          <w:u w:val="single"/>
        </w:rPr>
      </w:pPr>
      <w:hyperlink r:id="rId14" w:history="1">
        <w:r w:rsidR="004D5540" w:rsidRPr="004D5540">
          <w:rPr>
            <w:rStyle w:val="Hyperlink"/>
            <w:rFonts w:ascii="CIDFont+F1" w:hAnsi="CIDFont+F1" w:cs="CIDFont+F1"/>
          </w:rPr>
          <w:t>https://www.ntsb.gov/safety/Pages/research.aspx</w:t>
        </w:r>
      </w:hyperlink>
    </w:p>
    <w:p w14:paraId="79F75EC7" w14:textId="77777777" w:rsidR="004D5540" w:rsidRPr="004D5540" w:rsidRDefault="00DB3D08" w:rsidP="004D5540">
      <w:pPr>
        <w:spacing w:after="0" w:line="240" w:lineRule="auto"/>
        <w:rPr>
          <w:rFonts w:ascii="CIDFont+F1" w:hAnsi="CIDFont+F1" w:cs="CIDFont+F1"/>
          <w:u w:val="single"/>
        </w:rPr>
      </w:pPr>
      <w:hyperlink r:id="rId15" w:history="1">
        <w:r w:rsidR="004D5540" w:rsidRPr="004D5540">
          <w:rPr>
            <w:rStyle w:val="Hyperlink"/>
            <w:rFonts w:ascii="CIDFont+F1" w:hAnsi="CIDFont+F1" w:cs="CIDFont+F1"/>
          </w:rPr>
          <w:t>https://www.ntsb.gov/safety/data/Pages/AviationDataStats2019.aspx</w:t>
        </w:r>
      </w:hyperlink>
    </w:p>
    <w:p w14:paraId="7E186328" w14:textId="69A3FD07" w:rsidR="004D5540" w:rsidRDefault="00DB3D08" w:rsidP="004D5540">
      <w:pPr>
        <w:spacing w:after="0" w:line="240" w:lineRule="auto"/>
        <w:rPr>
          <w:rFonts w:ascii="CIDFont+F1" w:hAnsi="CIDFont+F1" w:cs="CIDFont+F1"/>
          <w:u w:val="single"/>
        </w:rPr>
      </w:pPr>
      <w:hyperlink r:id="rId16" w:history="1">
        <w:r w:rsidR="004D5540" w:rsidRPr="004D5540">
          <w:rPr>
            <w:rStyle w:val="Hyperlink"/>
            <w:rFonts w:ascii="CIDFont+F1" w:hAnsi="CIDFont+F1" w:cs="CIDFont+F1"/>
          </w:rPr>
          <w:t>https://www.bts.gov/content/transportation-fatalities-mode</w:t>
        </w:r>
      </w:hyperlink>
    </w:p>
    <w:p w14:paraId="7B6D266E" w14:textId="77777777" w:rsidR="004D5540" w:rsidRPr="004D5540" w:rsidRDefault="004D5540" w:rsidP="004D5540">
      <w:pPr>
        <w:spacing w:after="0" w:line="240" w:lineRule="auto"/>
        <w:rPr>
          <w:rFonts w:ascii="CIDFont+F1" w:hAnsi="CIDFont+F1" w:cs="CIDFont+F1"/>
        </w:rPr>
      </w:pPr>
    </w:p>
    <w:p w14:paraId="53D36F26" w14:textId="77777777" w:rsidR="00C94AA7" w:rsidRDefault="00C94AA7" w:rsidP="00521B6F">
      <w:pPr>
        <w:spacing w:after="0" w:line="240" w:lineRule="auto"/>
        <w:rPr>
          <w:rFonts w:ascii="CIDFont+F1" w:hAnsi="CIDFont+F1" w:cs="CIDFont+F1"/>
        </w:rPr>
      </w:pPr>
    </w:p>
    <w:p w14:paraId="6B009718" w14:textId="10B16F21" w:rsidR="00F40FC3" w:rsidRDefault="00F40FC3" w:rsidP="00521B6F">
      <w:pPr>
        <w:spacing w:after="0" w:line="240" w:lineRule="auto"/>
        <w:rPr>
          <w:rFonts w:ascii="CIDFont+F1" w:hAnsi="CIDFont+F1" w:cs="CIDFont+F1"/>
        </w:rPr>
      </w:pPr>
    </w:p>
    <w:p w14:paraId="0200FEC3" w14:textId="7B3A3409" w:rsidR="00F40FC3" w:rsidRDefault="00F40FC3" w:rsidP="00521B6F">
      <w:pPr>
        <w:spacing w:after="0" w:line="240" w:lineRule="auto"/>
        <w:rPr>
          <w:rFonts w:ascii="CIDFont+F1" w:hAnsi="CIDFont+F1" w:cs="CIDFont+F1"/>
        </w:rPr>
      </w:pPr>
    </w:p>
    <w:p w14:paraId="02EB3C21" w14:textId="156E75F6" w:rsidR="00F40FC3" w:rsidRDefault="00F40FC3" w:rsidP="00521B6F">
      <w:pPr>
        <w:spacing w:after="0" w:line="240" w:lineRule="auto"/>
        <w:rPr>
          <w:rFonts w:ascii="CIDFont+F1" w:hAnsi="CIDFont+F1" w:cs="CIDFont+F1"/>
        </w:rPr>
      </w:pPr>
    </w:p>
    <w:p w14:paraId="49B02C25" w14:textId="069A66C1" w:rsidR="00F40FC3" w:rsidRDefault="00F40FC3" w:rsidP="00521B6F">
      <w:pPr>
        <w:spacing w:after="0" w:line="240" w:lineRule="auto"/>
        <w:rPr>
          <w:rFonts w:ascii="CIDFont+F1" w:hAnsi="CIDFont+F1" w:cs="CIDFont+F1"/>
        </w:rPr>
      </w:pPr>
    </w:p>
    <w:p w14:paraId="6C64AF63" w14:textId="6DA9486C" w:rsidR="00F40FC3" w:rsidRDefault="00F40FC3" w:rsidP="00521B6F">
      <w:pPr>
        <w:spacing w:after="0" w:line="240" w:lineRule="auto"/>
        <w:rPr>
          <w:rFonts w:ascii="CIDFont+F1" w:hAnsi="CIDFont+F1" w:cs="CIDFont+F1"/>
        </w:rPr>
      </w:pPr>
    </w:p>
    <w:p w14:paraId="124C40F6" w14:textId="1264DC3C" w:rsidR="00F40FC3" w:rsidRDefault="00F40FC3" w:rsidP="00521B6F">
      <w:pPr>
        <w:spacing w:after="0" w:line="240" w:lineRule="auto"/>
        <w:rPr>
          <w:rFonts w:ascii="CIDFont+F1" w:hAnsi="CIDFont+F1" w:cs="CIDFont+F1"/>
        </w:rPr>
      </w:pPr>
    </w:p>
    <w:p w14:paraId="4261AC7C" w14:textId="77777777" w:rsidR="00F40FC3" w:rsidRPr="00172ADA" w:rsidRDefault="00F40FC3" w:rsidP="00521B6F">
      <w:pPr>
        <w:spacing w:after="0" w:line="240" w:lineRule="auto"/>
        <w:rPr>
          <w:rFonts w:ascii="CIDFont+F1" w:hAnsi="CIDFont+F1" w:cs="CIDFont+F1"/>
        </w:rPr>
      </w:pPr>
    </w:p>
    <w:sectPr w:rsidR="00F40FC3" w:rsidRPr="00172ADA" w:rsidSect="007314F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A3937"/>
    <w:multiLevelType w:val="hybridMultilevel"/>
    <w:tmpl w:val="18C49B76"/>
    <w:lvl w:ilvl="0" w:tplc="BCD0F308">
      <w:numFmt w:val="bullet"/>
      <w:lvlText w:val=""/>
      <w:lvlJc w:val="left"/>
      <w:pPr>
        <w:ind w:left="720" w:hanging="360"/>
      </w:pPr>
      <w:rPr>
        <w:rFonts w:ascii="Symbol" w:eastAsiaTheme="minorHAnsi" w:hAnsi="Symbol" w:cs="CIDFont+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3C"/>
    <w:rsid w:val="00154902"/>
    <w:rsid w:val="00172ADA"/>
    <w:rsid w:val="001B0F4F"/>
    <w:rsid w:val="001C1E11"/>
    <w:rsid w:val="002524F9"/>
    <w:rsid w:val="002D2929"/>
    <w:rsid w:val="00334D5C"/>
    <w:rsid w:val="003A7B85"/>
    <w:rsid w:val="003E0A87"/>
    <w:rsid w:val="00473D6F"/>
    <w:rsid w:val="004D5540"/>
    <w:rsid w:val="00521B6F"/>
    <w:rsid w:val="005801E0"/>
    <w:rsid w:val="005A613C"/>
    <w:rsid w:val="006222FC"/>
    <w:rsid w:val="00623959"/>
    <w:rsid w:val="0064604C"/>
    <w:rsid w:val="007226C0"/>
    <w:rsid w:val="007314FB"/>
    <w:rsid w:val="00866A1B"/>
    <w:rsid w:val="008811CE"/>
    <w:rsid w:val="008F016A"/>
    <w:rsid w:val="009A2380"/>
    <w:rsid w:val="009F417F"/>
    <w:rsid w:val="00A731EA"/>
    <w:rsid w:val="00B50F39"/>
    <w:rsid w:val="00C0531A"/>
    <w:rsid w:val="00C63408"/>
    <w:rsid w:val="00C94AA7"/>
    <w:rsid w:val="00CB597D"/>
    <w:rsid w:val="00DB3D08"/>
    <w:rsid w:val="00DE796D"/>
    <w:rsid w:val="00E151D3"/>
    <w:rsid w:val="00E16340"/>
    <w:rsid w:val="00E3799E"/>
    <w:rsid w:val="00E45B91"/>
    <w:rsid w:val="00E66CCB"/>
    <w:rsid w:val="00EF7A36"/>
    <w:rsid w:val="00F40FC3"/>
    <w:rsid w:val="00FD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548B"/>
  <w15:chartTrackingRefBased/>
  <w15:docId w15:val="{E6105BE9-B6DD-42A3-B120-5669676D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5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bts.gov/content/transportation-fatalities-mod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yperlink" Target="https://www.ntsb.gov/safety/data/Pages/AviationDataStats2019.aspx" TargetMode="Externa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www.ntsb.gov/safety/Pages/research.asp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D5C988-9E03-4783-B704-F7589B2004C7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FE612E7-5F7E-41DA-9586-F2B155CBD8EB}">
      <dgm:prSet phldrT="[Text]"/>
      <dgm:spPr>
        <a:solidFill>
          <a:srgbClr val="118DFF"/>
        </a:solidFill>
      </dgm:spPr>
      <dgm:t>
        <a:bodyPr/>
        <a:lstStyle/>
        <a:p>
          <a:pPr algn="ctr"/>
          <a:r>
            <a:rPr lang="en-US"/>
            <a:t>Air</a:t>
          </a:r>
        </a:p>
      </dgm:t>
    </dgm:pt>
    <dgm:pt modelId="{450A5399-54CE-4346-9D8F-65AB8BEFF4BC}" type="parTrans" cxnId="{146A0C74-BB6E-4EB0-BAB0-CE75EEE1E038}">
      <dgm:prSet/>
      <dgm:spPr/>
      <dgm:t>
        <a:bodyPr/>
        <a:lstStyle/>
        <a:p>
          <a:pPr algn="ctr"/>
          <a:endParaRPr lang="en-US"/>
        </a:p>
      </dgm:t>
    </dgm:pt>
    <dgm:pt modelId="{458D85C9-2D8F-4D66-A73F-044DE8D7D3AC}" type="sibTrans" cxnId="{146A0C74-BB6E-4EB0-BAB0-CE75EEE1E038}">
      <dgm:prSet/>
      <dgm:spPr/>
      <dgm:t>
        <a:bodyPr/>
        <a:lstStyle/>
        <a:p>
          <a:pPr algn="ctr"/>
          <a:endParaRPr lang="en-US"/>
        </a:p>
      </dgm:t>
    </dgm:pt>
    <dgm:pt modelId="{41676F2A-F31C-418F-BF72-854F53BDDB67}">
      <dgm:prSet phldrT="[Text]"/>
      <dgm:spPr>
        <a:solidFill>
          <a:srgbClr val="12239E"/>
        </a:solidFill>
      </dgm:spPr>
      <dgm:t>
        <a:bodyPr/>
        <a:lstStyle/>
        <a:p>
          <a:pPr algn="ctr"/>
          <a:r>
            <a:rPr lang="en-US"/>
            <a:t>1 Fatality per </a:t>
          </a:r>
          <a:r>
            <a:rPr lang="en-US">
              <a:solidFill>
                <a:srgbClr val="FF0000"/>
              </a:solidFill>
            </a:rPr>
            <a:t>9,894,206</a:t>
          </a:r>
          <a:r>
            <a:rPr lang="en-US"/>
            <a:t> hours flown</a:t>
          </a:r>
        </a:p>
      </dgm:t>
    </dgm:pt>
    <dgm:pt modelId="{867EE2AF-D1A1-47C1-BB4B-008A5BA39762}" type="parTrans" cxnId="{FF3A4E70-8597-4DF0-A488-D934903EBE60}">
      <dgm:prSet/>
      <dgm:spPr/>
      <dgm:t>
        <a:bodyPr/>
        <a:lstStyle/>
        <a:p>
          <a:pPr algn="ctr"/>
          <a:endParaRPr lang="en-US"/>
        </a:p>
      </dgm:t>
    </dgm:pt>
    <dgm:pt modelId="{8A55951B-BDB4-494D-95CC-94D65985D504}" type="sibTrans" cxnId="{FF3A4E70-8597-4DF0-A488-D934903EBE60}">
      <dgm:prSet/>
      <dgm:spPr/>
      <dgm:t>
        <a:bodyPr/>
        <a:lstStyle/>
        <a:p>
          <a:pPr algn="ctr"/>
          <a:endParaRPr lang="en-US"/>
        </a:p>
      </dgm:t>
    </dgm:pt>
    <dgm:pt modelId="{DDCDDD4D-08F6-4055-9177-BCD995E2B745}">
      <dgm:prSet phldrT="[Text]"/>
      <dgm:spPr>
        <a:solidFill>
          <a:srgbClr val="118DFF"/>
        </a:solidFill>
      </dgm:spPr>
      <dgm:t>
        <a:bodyPr/>
        <a:lstStyle/>
        <a:p>
          <a:pPr algn="ctr"/>
          <a:r>
            <a:rPr lang="en-US"/>
            <a:t>Motor</a:t>
          </a:r>
        </a:p>
      </dgm:t>
    </dgm:pt>
    <dgm:pt modelId="{593109FC-4B79-4620-8E32-F37482818E74}" type="parTrans" cxnId="{CBFD870D-EA86-407A-96E8-B9C0A8429984}">
      <dgm:prSet/>
      <dgm:spPr/>
      <dgm:t>
        <a:bodyPr/>
        <a:lstStyle/>
        <a:p>
          <a:pPr algn="ctr"/>
          <a:endParaRPr lang="en-US"/>
        </a:p>
      </dgm:t>
    </dgm:pt>
    <dgm:pt modelId="{29354E5B-DACA-4912-92BA-99800BCC1260}" type="sibTrans" cxnId="{CBFD870D-EA86-407A-96E8-B9C0A8429984}">
      <dgm:prSet/>
      <dgm:spPr/>
      <dgm:t>
        <a:bodyPr/>
        <a:lstStyle/>
        <a:p>
          <a:pPr algn="ctr"/>
          <a:endParaRPr lang="en-US"/>
        </a:p>
      </dgm:t>
    </dgm:pt>
    <dgm:pt modelId="{DA9118E2-367E-4100-8867-59DE34156CF4}">
      <dgm:prSet phldrT="[Text]"/>
      <dgm:spPr>
        <a:solidFill>
          <a:srgbClr val="12239E"/>
        </a:solidFill>
      </dgm:spPr>
      <dgm:t>
        <a:bodyPr/>
        <a:lstStyle/>
        <a:p>
          <a:pPr algn="ctr"/>
          <a:r>
            <a:rPr lang="en-US"/>
            <a:t>1 Fatality per </a:t>
          </a:r>
        </a:p>
        <a:p>
          <a:pPr algn="ctr"/>
          <a:r>
            <a:rPr lang="en-US">
              <a:solidFill>
                <a:srgbClr val="FF0000"/>
              </a:solidFill>
            </a:rPr>
            <a:t>1,635 </a:t>
          </a:r>
        </a:p>
        <a:p>
          <a:pPr algn="ctr"/>
          <a:r>
            <a:rPr lang="en-US"/>
            <a:t>hours driven</a:t>
          </a:r>
        </a:p>
      </dgm:t>
    </dgm:pt>
    <dgm:pt modelId="{521625E3-A7D5-4D05-A37D-1BA730D4C9E3}" type="parTrans" cxnId="{1E7CAA98-CBC7-4114-AF4F-A390F7CA25CD}">
      <dgm:prSet/>
      <dgm:spPr/>
      <dgm:t>
        <a:bodyPr/>
        <a:lstStyle/>
        <a:p>
          <a:pPr algn="ctr"/>
          <a:endParaRPr lang="en-US"/>
        </a:p>
      </dgm:t>
    </dgm:pt>
    <dgm:pt modelId="{3DBAC1F4-BF00-4FB2-AE77-8B1BF7FED23D}" type="sibTrans" cxnId="{1E7CAA98-CBC7-4114-AF4F-A390F7CA25CD}">
      <dgm:prSet/>
      <dgm:spPr/>
      <dgm:t>
        <a:bodyPr/>
        <a:lstStyle/>
        <a:p>
          <a:pPr algn="ctr"/>
          <a:endParaRPr lang="en-US"/>
        </a:p>
      </dgm:t>
    </dgm:pt>
    <dgm:pt modelId="{E231C181-4AD3-4E93-9CC5-49A4D4A89FAB}" type="pres">
      <dgm:prSet presAssocID="{6BD5C988-9E03-4783-B704-F7589B2004C7}" presName="theList" presStyleCnt="0">
        <dgm:presLayoutVars>
          <dgm:dir/>
          <dgm:animLvl val="lvl"/>
          <dgm:resizeHandles val="exact"/>
        </dgm:presLayoutVars>
      </dgm:prSet>
      <dgm:spPr/>
    </dgm:pt>
    <dgm:pt modelId="{FC19EF4B-CAE4-4121-8694-C7A8C5650630}" type="pres">
      <dgm:prSet presAssocID="{DFE612E7-5F7E-41DA-9586-F2B155CBD8EB}" presName="compNode" presStyleCnt="0"/>
      <dgm:spPr/>
    </dgm:pt>
    <dgm:pt modelId="{C8BD8C2D-BEFB-4940-B40A-C90DB0ACC228}" type="pres">
      <dgm:prSet presAssocID="{DFE612E7-5F7E-41DA-9586-F2B155CBD8EB}" presName="aNode" presStyleLbl="bgShp" presStyleIdx="0" presStyleCnt="2"/>
      <dgm:spPr/>
    </dgm:pt>
    <dgm:pt modelId="{66F403B7-1432-491E-81BB-58E28A2DA73B}" type="pres">
      <dgm:prSet presAssocID="{DFE612E7-5F7E-41DA-9586-F2B155CBD8EB}" presName="textNode" presStyleLbl="bgShp" presStyleIdx="0" presStyleCnt="2"/>
      <dgm:spPr/>
    </dgm:pt>
    <dgm:pt modelId="{7CBF03B3-0518-4B09-9B9E-4BEECDDAA810}" type="pres">
      <dgm:prSet presAssocID="{DFE612E7-5F7E-41DA-9586-F2B155CBD8EB}" presName="compChildNode" presStyleCnt="0"/>
      <dgm:spPr/>
    </dgm:pt>
    <dgm:pt modelId="{6CCE8A7B-B79A-43D1-BF2F-DE13AF069191}" type="pres">
      <dgm:prSet presAssocID="{DFE612E7-5F7E-41DA-9586-F2B155CBD8EB}" presName="theInnerList" presStyleCnt="0"/>
      <dgm:spPr/>
    </dgm:pt>
    <dgm:pt modelId="{F7C2A789-DB0E-40F6-AAFB-45A5158A7F60}" type="pres">
      <dgm:prSet presAssocID="{41676F2A-F31C-418F-BF72-854F53BDDB67}" presName="childNode" presStyleLbl="node1" presStyleIdx="0" presStyleCnt="2">
        <dgm:presLayoutVars>
          <dgm:bulletEnabled val="1"/>
        </dgm:presLayoutVars>
      </dgm:prSet>
      <dgm:spPr/>
    </dgm:pt>
    <dgm:pt modelId="{A13AB9DE-6DAC-488C-A498-5BA698EAA0F7}" type="pres">
      <dgm:prSet presAssocID="{DFE612E7-5F7E-41DA-9586-F2B155CBD8EB}" presName="aSpace" presStyleCnt="0"/>
      <dgm:spPr/>
    </dgm:pt>
    <dgm:pt modelId="{A07AE545-C0C3-402C-B3E2-15B6B0D99DAC}" type="pres">
      <dgm:prSet presAssocID="{DDCDDD4D-08F6-4055-9177-BCD995E2B745}" presName="compNode" presStyleCnt="0"/>
      <dgm:spPr/>
    </dgm:pt>
    <dgm:pt modelId="{EB687129-F5FA-4587-8B41-4DAB3D6D0156}" type="pres">
      <dgm:prSet presAssocID="{DDCDDD4D-08F6-4055-9177-BCD995E2B745}" presName="aNode" presStyleLbl="bgShp" presStyleIdx="1" presStyleCnt="2"/>
      <dgm:spPr/>
    </dgm:pt>
    <dgm:pt modelId="{5A6366F5-23CB-4A89-8393-91F799FDD6E6}" type="pres">
      <dgm:prSet presAssocID="{DDCDDD4D-08F6-4055-9177-BCD995E2B745}" presName="textNode" presStyleLbl="bgShp" presStyleIdx="1" presStyleCnt="2"/>
      <dgm:spPr/>
    </dgm:pt>
    <dgm:pt modelId="{032668F3-353F-47E6-B117-87C8422F578D}" type="pres">
      <dgm:prSet presAssocID="{DDCDDD4D-08F6-4055-9177-BCD995E2B745}" presName="compChildNode" presStyleCnt="0"/>
      <dgm:spPr/>
    </dgm:pt>
    <dgm:pt modelId="{AB9BD508-17A7-412A-B52A-AC5FD4C49537}" type="pres">
      <dgm:prSet presAssocID="{DDCDDD4D-08F6-4055-9177-BCD995E2B745}" presName="theInnerList" presStyleCnt="0"/>
      <dgm:spPr/>
    </dgm:pt>
    <dgm:pt modelId="{4224BEAB-FB4A-42F6-8BB1-D543EECBE322}" type="pres">
      <dgm:prSet presAssocID="{DA9118E2-367E-4100-8867-59DE34156CF4}" presName="childNode" presStyleLbl="node1" presStyleIdx="1" presStyleCnt="2">
        <dgm:presLayoutVars>
          <dgm:bulletEnabled val="1"/>
        </dgm:presLayoutVars>
      </dgm:prSet>
      <dgm:spPr/>
    </dgm:pt>
  </dgm:ptLst>
  <dgm:cxnLst>
    <dgm:cxn modelId="{CBFD870D-EA86-407A-96E8-B9C0A8429984}" srcId="{6BD5C988-9E03-4783-B704-F7589B2004C7}" destId="{DDCDDD4D-08F6-4055-9177-BCD995E2B745}" srcOrd="1" destOrd="0" parTransId="{593109FC-4B79-4620-8E32-F37482818E74}" sibTransId="{29354E5B-DACA-4912-92BA-99800BCC1260}"/>
    <dgm:cxn modelId="{50DAD922-3C5E-41F2-B22E-6CD0994F9E08}" type="presOf" srcId="{41676F2A-F31C-418F-BF72-854F53BDDB67}" destId="{F7C2A789-DB0E-40F6-AAFB-45A5158A7F60}" srcOrd="0" destOrd="0" presId="urn:microsoft.com/office/officeart/2005/8/layout/lProcess2"/>
    <dgm:cxn modelId="{62CC1747-AB01-4A5D-A0BD-78817CE7DD8D}" type="presOf" srcId="{6BD5C988-9E03-4783-B704-F7589B2004C7}" destId="{E231C181-4AD3-4E93-9CC5-49A4D4A89FAB}" srcOrd="0" destOrd="0" presId="urn:microsoft.com/office/officeart/2005/8/layout/lProcess2"/>
    <dgm:cxn modelId="{FF3A4E70-8597-4DF0-A488-D934903EBE60}" srcId="{DFE612E7-5F7E-41DA-9586-F2B155CBD8EB}" destId="{41676F2A-F31C-418F-BF72-854F53BDDB67}" srcOrd="0" destOrd="0" parTransId="{867EE2AF-D1A1-47C1-BB4B-008A5BA39762}" sibTransId="{8A55951B-BDB4-494D-95CC-94D65985D504}"/>
    <dgm:cxn modelId="{146A0C74-BB6E-4EB0-BAB0-CE75EEE1E038}" srcId="{6BD5C988-9E03-4783-B704-F7589B2004C7}" destId="{DFE612E7-5F7E-41DA-9586-F2B155CBD8EB}" srcOrd="0" destOrd="0" parTransId="{450A5399-54CE-4346-9D8F-65AB8BEFF4BC}" sibTransId="{458D85C9-2D8F-4D66-A73F-044DE8D7D3AC}"/>
    <dgm:cxn modelId="{500B907E-C2EE-4914-BB62-226F200AD954}" type="presOf" srcId="{DDCDDD4D-08F6-4055-9177-BCD995E2B745}" destId="{5A6366F5-23CB-4A89-8393-91F799FDD6E6}" srcOrd="1" destOrd="0" presId="urn:microsoft.com/office/officeart/2005/8/layout/lProcess2"/>
    <dgm:cxn modelId="{1E7CAA98-CBC7-4114-AF4F-A390F7CA25CD}" srcId="{DDCDDD4D-08F6-4055-9177-BCD995E2B745}" destId="{DA9118E2-367E-4100-8867-59DE34156CF4}" srcOrd="0" destOrd="0" parTransId="{521625E3-A7D5-4D05-A37D-1BA730D4C9E3}" sibTransId="{3DBAC1F4-BF00-4FB2-AE77-8B1BF7FED23D}"/>
    <dgm:cxn modelId="{863FF9B6-C57C-4785-A4A0-260E3F30D313}" type="presOf" srcId="{DDCDDD4D-08F6-4055-9177-BCD995E2B745}" destId="{EB687129-F5FA-4587-8B41-4DAB3D6D0156}" srcOrd="0" destOrd="0" presId="urn:microsoft.com/office/officeart/2005/8/layout/lProcess2"/>
    <dgm:cxn modelId="{BFC48CDF-201F-4490-A158-D3837C60C510}" type="presOf" srcId="{DFE612E7-5F7E-41DA-9586-F2B155CBD8EB}" destId="{66F403B7-1432-491E-81BB-58E28A2DA73B}" srcOrd="1" destOrd="0" presId="urn:microsoft.com/office/officeart/2005/8/layout/lProcess2"/>
    <dgm:cxn modelId="{1B94D9F5-7860-4DD9-A23C-3F04324B0F9F}" type="presOf" srcId="{DFE612E7-5F7E-41DA-9586-F2B155CBD8EB}" destId="{C8BD8C2D-BEFB-4940-B40A-C90DB0ACC228}" srcOrd="0" destOrd="0" presId="urn:microsoft.com/office/officeart/2005/8/layout/lProcess2"/>
    <dgm:cxn modelId="{A71688FD-266B-4A51-A17E-E3988E4B7873}" type="presOf" srcId="{DA9118E2-367E-4100-8867-59DE34156CF4}" destId="{4224BEAB-FB4A-42F6-8BB1-D543EECBE322}" srcOrd="0" destOrd="0" presId="urn:microsoft.com/office/officeart/2005/8/layout/lProcess2"/>
    <dgm:cxn modelId="{86779F5A-3BA7-4338-A3EE-9F2E5CC99E85}" type="presParOf" srcId="{E231C181-4AD3-4E93-9CC5-49A4D4A89FAB}" destId="{FC19EF4B-CAE4-4121-8694-C7A8C5650630}" srcOrd="0" destOrd="0" presId="urn:microsoft.com/office/officeart/2005/8/layout/lProcess2"/>
    <dgm:cxn modelId="{26100B5E-0390-47B1-82A8-EF5D175EA19B}" type="presParOf" srcId="{FC19EF4B-CAE4-4121-8694-C7A8C5650630}" destId="{C8BD8C2D-BEFB-4940-B40A-C90DB0ACC228}" srcOrd="0" destOrd="0" presId="urn:microsoft.com/office/officeart/2005/8/layout/lProcess2"/>
    <dgm:cxn modelId="{D0FE976C-35F5-4B79-ADEE-A368BA0738AA}" type="presParOf" srcId="{FC19EF4B-CAE4-4121-8694-C7A8C5650630}" destId="{66F403B7-1432-491E-81BB-58E28A2DA73B}" srcOrd="1" destOrd="0" presId="urn:microsoft.com/office/officeart/2005/8/layout/lProcess2"/>
    <dgm:cxn modelId="{9CF8BD85-C488-4B81-BDDE-8E21299BF717}" type="presParOf" srcId="{FC19EF4B-CAE4-4121-8694-C7A8C5650630}" destId="{7CBF03B3-0518-4B09-9B9E-4BEECDDAA810}" srcOrd="2" destOrd="0" presId="urn:microsoft.com/office/officeart/2005/8/layout/lProcess2"/>
    <dgm:cxn modelId="{5186F790-35FC-405A-8FCE-AA1366BC9AF7}" type="presParOf" srcId="{7CBF03B3-0518-4B09-9B9E-4BEECDDAA810}" destId="{6CCE8A7B-B79A-43D1-BF2F-DE13AF069191}" srcOrd="0" destOrd="0" presId="urn:microsoft.com/office/officeart/2005/8/layout/lProcess2"/>
    <dgm:cxn modelId="{D4D07F46-2E68-4F86-BE07-8729714A0780}" type="presParOf" srcId="{6CCE8A7B-B79A-43D1-BF2F-DE13AF069191}" destId="{F7C2A789-DB0E-40F6-AAFB-45A5158A7F60}" srcOrd="0" destOrd="0" presId="urn:microsoft.com/office/officeart/2005/8/layout/lProcess2"/>
    <dgm:cxn modelId="{4B7572E2-059E-42E0-8526-77AA50D4417F}" type="presParOf" srcId="{E231C181-4AD3-4E93-9CC5-49A4D4A89FAB}" destId="{A13AB9DE-6DAC-488C-A498-5BA698EAA0F7}" srcOrd="1" destOrd="0" presId="urn:microsoft.com/office/officeart/2005/8/layout/lProcess2"/>
    <dgm:cxn modelId="{815E4640-E246-4C55-B39A-3FD0BFECE718}" type="presParOf" srcId="{E231C181-4AD3-4E93-9CC5-49A4D4A89FAB}" destId="{A07AE545-C0C3-402C-B3E2-15B6B0D99DAC}" srcOrd="2" destOrd="0" presId="urn:microsoft.com/office/officeart/2005/8/layout/lProcess2"/>
    <dgm:cxn modelId="{4CD29F8E-AD31-43AA-A264-1A5714547A8E}" type="presParOf" srcId="{A07AE545-C0C3-402C-B3E2-15B6B0D99DAC}" destId="{EB687129-F5FA-4587-8B41-4DAB3D6D0156}" srcOrd="0" destOrd="0" presId="urn:microsoft.com/office/officeart/2005/8/layout/lProcess2"/>
    <dgm:cxn modelId="{3A0F279B-66A2-4A7A-81CD-651F98618E05}" type="presParOf" srcId="{A07AE545-C0C3-402C-B3E2-15B6B0D99DAC}" destId="{5A6366F5-23CB-4A89-8393-91F799FDD6E6}" srcOrd="1" destOrd="0" presId="urn:microsoft.com/office/officeart/2005/8/layout/lProcess2"/>
    <dgm:cxn modelId="{55C41A8E-5D5B-42BC-83CC-674974717D6F}" type="presParOf" srcId="{A07AE545-C0C3-402C-B3E2-15B6B0D99DAC}" destId="{032668F3-353F-47E6-B117-87C8422F578D}" srcOrd="2" destOrd="0" presId="urn:microsoft.com/office/officeart/2005/8/layout/lProcess2"/>
    <dgm:cxn modelId="{C4BEE073-4FA2-4818-B0E6-76F12315E765}" type="presParOf" srcId="{032668F3-353F-47E6-B117-87C8422F578D}" destId="{AB9BD508-17A7-412A-B52A-AC5FD4C49537}" srcOrd="0" destOrd="0" presId="urn:microsoft.com/office/officeart/2005/8/layout/lProcess2"/>
    <dgm:cxn modelId="{31D85095-FCC0-415A-B7DD-15F5A3176BBF}" type="presParOf" srcId="{AB9BD508-17A7-412A-B52A-AC5FD4C49537}" destId="{4224BEAB-FB4A-42F6-8BB1-D543EECBE322}" srcOrd="0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BD8C2D-BEFB-4940-B40A-C90DB0ACC228}">
      <dsp:nvSpPr>
        <dsp:cNvPr id="0" name=""/>
        <dsp:cNvSpPr/>
      </dsp:nvSpPr>
      <dsp:spPr>
        <a:xfrm>
          <a:off x="1439" y="0"/>
          <a:ext cx="1384901" cy="1714500"/>
        </a:xfrm>
        <a:prstGeom prst="roundRect">
          <a:avLst>
            <a:gd name="adj" fmla="val 10000"/>
          </a:avLst>
        </a:prstGeom>
        <a:solidFill>
          <a:srgbClr val="118DFF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Air</a:t>
          </a:r>
        </a:p>
      </dsp:txBody>
      <dsp:txXfrm>
        <a:off x="1439" y="0"/>
        <a:ext cx="1384901" cy="514350"/>
      </dsp:txXfrm>
    </dsp:sp>
    <dsp:sp modelId="{F7C2A789-DB0E-40F6-AAFB-45A5158A7F60}">
      <dsp:nvSpPr>
        <dsp:cNvPr id="0" name=""/>
        <dsp:cNvSpPr/>
      </dsp:nvSpPr>
      <dsp:spPr>
        <a:xfrm>
          <a:off x="139929" y="514350"/>
          <a:ext cx="1107921" cy="1114425"/>
        </a:xfrm>
        <a:prstGeom prst="roundRect">
          <a:avLst>
            <a:gd name="adj" fmla="val 10000"/>
          </a:avLst>
        </a:prstGeom>
        <a:solidFill>
          <a:srgbClr val="12239E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 Fatality per </a:t>
          </a:r>
          <a:r>
            <a:rPr lang="en-US" sz="1400" kern="1200">
              <a:solidFill>
                <a:srgbClr val="FF0000"/>
              </a:solidFill>
            </a:rPr>
            <a:t>9,894,206</a:t>
          </a:r>
          <a:r>
            <a:rPr lang="en-US" sz="1400" kern="1200"/>
            <a:t> hours flown</a:t>
          </a:r>
        </a:p>
      </dsp:txBody>
      <dsp:txXfrm>
        <a:off x="172379" y="546800"/>
        <a:ext cx="1043021" cy="1049525"/>
      </dsp:txXfrm>
    </dsp:sp>
    <dsp:sp modelId="{EB687129-F5FA-4587-8B41-4DAB3D6D0156}">
      <dsp:nvSpPr>
        <dsp:cNvPr id="0" name=""/>
        <dsp:cNvSpPr/>
      </dsp:nvSpPr>
      <dsp:spPr>
        <a:xfrm>
          <a:off x="1490208" y="0"/>
          <a:ext cx="1384901" cy="1714500"/>
        </a:xfrm>
        <a:prstGeom prst="roundRect">
          <a:avLst>
            <a:gd name="adj" fmla="val 10000"/>
          </a:avLst>
        </a:prstGeom>
        <a:solidFill>
          <a:srgbClr val="118DFF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Motor</a:t>
          </a:r>
        </a:p>
      </dsp:txBody>
      <dsp:txXfrm>
        <a:off x="1490208" y="0"/>
        <a:ext cx="1384901" cy="514350"/>
      </dsp:txXfrm>
    </dsp:sp>
    <dsp:sp modelId="{4224BEAB-FB4A-42F6-8BB1-D543EECBE322}">
      <dsp:nvSpPr>
        <dsp:cNvPr id="0" name=""/>
        <dsp:cNvSpPr/>
      </dsp:nvSpPr>
      <dsp:spPr>
        <a:xfrm>
          <a:off x="1628698" y="514350"/>
          <a:ext cx="1107921" cy="1114425"/>
        </a:xfrm>
        <a:prstGeom prst="roundRect">
          <a:avLst>
            <a:gd name="adj" fmla="val 10000"/>
          </a:avLst>
        </a:prstGeom>
        <a:solidFill>
          <a:srgbClr val="12239E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 Fatality per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rgbClr val="FF0000"/>
              </a:solidFill>
            </a:rPr>
            <a:t>1,635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hours driven</a:t>
          </a:r>
        </a:p>
      </dsp:txBody>
      <dsp:txXfrm>
        <a:off x="1661148" y="546800"/>
        <a:ext cx="1043021" cy="10495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96B51-7A29-4835-A452-3A19F505A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Long</dc:creator>
  <cp:keywords/>
  <dc:description/>
  <cp:lastModifiedBy>Ryan Long</cp:lastModifiedBy>
  <cp:revision>29</cp:revision>
  <dcterms:created xsi:type="dcterms:W3CDTF">2022-01-23T03:39:00Z</dcterms:created>
  <dcterms:modified xsi:type="dcterms:W3CDTF">2022-01-30T19:29:00Z</dcterms:modified>
</cp:coreProperties>
</file>