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CMS Star Rating Criteria &amp; Enrollment Start Criteria by Plan</w:t>
      </w:r>
    </w:p>
    <w:p>
      <w:pPr>
        <w:spacing w:after="300"/>
      </w:pPr>
      <w:r>
        <w:rPr>
          <w:i/>
          <w:iCs/>
          <w:color w:val="555555"/>
          <w:sz w:val="20"/>
          <w:szCs w:val="20"/>
        </w:rPr>
        <w:t xml:space="preserve">Reference document for the patient care-gap simulation dataset (patient_plan_care_gaps.csv)</w:t>
      </w:r>
    </w:p>
    <w:p>
      <w:pPr>
        <w:pStyle w:val="Heading1"/>
        <w:spacing w:after="150" w:before="300"/>
      </w:pPr>
      <w:r>
        <w:t xml:space="preserve">1. Purpose</w:t>
      </w:r>
    </w:p>
    <w:p>
      <w:pPr>
        <w:spacing w:after="100"/>
      </w:pPr>
      <w:r>
        <w:t xml:space="preserve">This document defines, per insurance plan, (a) the CMS Star / HEDIS-aligned quality measures used to compute member-level care gaps in the accompanying dataset, and (b) the plan's actual enrollment start / eligibility criteria. It is meant to be read alongside patient_plan_care_gaps.csv, where each GAP_&lt;CODE&gt; column corresponds to a measure code defined below.</w:t>
      </w:r>
    </w:p>
    <w:p>
      <w:pPr>
        <w:spacing w:after="100"/>
      </w:pPr>
      <w:r>
        <w:rPr>
          <w:i/>
          <w:iCs/>
          <w:color w:val="555555"/>
          <w:sz w:val="20"/>
          <w:szCs w:val="20"/>
        </w:rPr>
        <w:t xml:space="preserve">Population note: the dataset contains 220 members across 10 plans (~22 members per plan), combining 107 real Synthea-derived patients with 113 synthetically generated members added to bring every plan to a comparable, analysis-ready population size. Synthetic members' clinical profiles (conditions, vitals, labs, medications, immunizations, procedures) were generated using the same measure logic as the real data, with gap rates deliberately varied by plan to produce realistic, non-uniform Star performance across plans for demonstration and prioritization-model testing.</w:t>
      </w:r>
    </w:p>
    <w:p>
      <w:pPr>
        <w:pStyle w:val="Heading1"/>
        <w:spacing w:after="150" w:before="300"/>
      </w:pPr>
      <w:r>
        <w:t xml:space="preserve">2. Measure Definitions (applies across plans, denominator varies by plan — see Section 3)</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200"/>
        <w:gridCol w:w="1500"/>
      </w:tblGrid>
      <w:tr>
        <w:tc>
          <w:tcPr>
            <w:tcW w:type="dxa" w:w="900"/>
            <w:shd w:fill="1F4E79" w:color="auto" w:val="clear"/>
          </w:tcPr>
          <w:p>
            <w:r>
              <w:rPr>
                <w:b/>
                <w:bCs/>
                <w:color w:val="FFFFFF"/>
                <w:sz w:val="18"/>
                <w:szCs w:val="18"/>
              </w:rPr>
              <w:t xml:space="preserve">Code</w:t>
            </w:r>
          </w:p>
        </w:tc>
        <w:tc>
          <w:tcPr>
            <w:tcW w:type="dxa" w:w="2200"/>
            <w:shd w:fill="1F4E79" w:color="auto" w:val="clear"/>
          </w:tcPr>
          <w:p>
            <w:r>
              <w:rPr>
                <w:b/>
                <w:bCs/>
                <w:color w:val="FFFFFF"/>
                <w:sz w:val="18"/>
                <w:szCs w:val="18"/>
              </w:rPr>
              <w:t xml:space="preserve">Measure</w:t>
            </w:r>
          </w:p>
        </w:tc>
        <w:tc>
          <w:tcPr>
            <w:tcW w:type="dxa" w:w="3200"/>
            <w:shd w:fill="1F4E79" w:color="auto" w:val="clear"/>
          </w:tcPr>
          <w:p>
            <w:r>
              <w:rPr>
                <w:b/>
                <w:bCs/>
                <w:color w:val="FFFFFF"/>
                <w:sz w:val="18"/>
                <w:szCs w:val="18"/>
              </w:rPr>
              <w:t xml:space="preserve">Denominator (Eligible Population)</w:t>
            </w:r>
          </w:p>
        </w:tc>
        <w:tc>
          <w:tcPr>
            <w:tcW w:type="dxa" w:w="3200"/>
            <w:shd w:fill="1F4E79" w:color="auto" w:val="clear"/>
          </w:tcPr>
          <w:p>
            <w:r>
              <w:rPr>
                <w:b/>
                <w:bCs/>
                <w:color w:val="FFFFFF"/>
                <w:sz w:val="18"/>
                <w:szCs w:val="18"/>
              </w:rPr>
              <w:t xml:space="preserve">Numerator (Gap Closed / Met)</w:t>
            </w:r>
          </w:p>
        </w:tc>
        <w:tc>
          <w:tcPr>
            <w:tcW w:type="dxa" w:w="1500"/>
            <w:shd w:fill="1F4E79" w:color="auto" w:val="clear"/>
          </w:tcPr>
          <w:p>
            <w:r>
              <w:rPr>
                <w:b/>
                <w:bCs/>
                <w:color w:val="FFFFFF"/>
                <w:sz w:val="18"/>
                <w:szCs w:val="18"/>
              </w:rPr>
              <w:t xml:space="preserve">Lookback Window</w:t>
            </w:r>
          </w:p>
        </w:tc>
      </w:tr>
      <w:tr>
        <w:tc>
          <w:tcPr>
            <w:tcW w:type="dxa" w:w="900"/>
          </w:tcPr>
          <w:p>
            <w:r>
              <w:rPr>
                <w:sz w:val="18"/>
                <w:szCs w:val="18"/>
              </w:rPr>
              <w:t xml:space="preserve">CBP</w:t>
            </w:r>
          </w:p>
        </w:tc>
        <w:tc>
          <w:tcPr>
            <w:tcW w:type="dxa" w:w="2200"/>
          </w:tcPr>
          <w:p>
            <w:r>
              <w:rPr>
                <w:sz w:val="18"/>
                <w:szCs w:val="18"/>
              </w:rPr>
              <w:t xml:space="preserve">Controlling High Blood Pressure</w:t>
            </w:r>
          </w:p>
        </w:tc>
        <w:tc>
          <w:tcPr>
            <w:tcW w:type="dxa" w:w="3200"/>
          </w:tcPr>
          <w:p>
            <w:r>
              <w:rPr>
                <w:sz w:val="18"/>
                <w:szCs w:val="18"/>
              </w:rPr>
              <w:t xml:space="preserve">Members 18–85 with a diagnosis of essential hypertension</w:t>
            </w:r>
          </w:p>
        </w:tc>
        <w:tc>
          <w:tcPr>
            <w:tcW w:type="dxa" w:w="3200"/>
          </w:tcPr>
          <w:p>
            <w:r>
              <w:rPr>
                <w:sz w:val="18"/>
                <w:szCs w:val="18"/>
              </w:rPr>
              <w:t xml:space="preserve">Most recent BP reading in the measurement year is &lt;140/90 mmHg</w:t>
            </w:r>
          </w:p>
        </w:tc>
        <w:tc>
          <w:tcPr>
            <w:tcW w:type="dxa" w:w="1500"/>
          </w:tcPr>
          <w:p>
            <w:r>
              <w:rPr>
                <w:sz w:val="18"/>
                <w:szCs w:val="18"/>
              </w:rPr>
              <w:t xml:space="preserve">1 year</w:t>
            </w:r>
          </w:p>
        </w:tc>
      </w:tr>
      <w:tr>
        <w:tc>
          <w:tcPr>
            <w:tcW w:type="dxa" w:w="900"/>
          </w:tcPr>
          <w:p>
            <w:r>
              <w:rPr>
                <w:sz w:val="18"/>
                <w:szCs w:val="18"/>
              </w:rPr>
              <w:t xml:space="preserve">HBD_C7</w:t>
            </w:r>
          </w:p>
        </w:tc>
        <w:tc>
          <w:tcPr>
            <w:tcW w:type="dxa" w:w="2200"/>
          </w:tcPr>
          <w:p>
            <w:r>
              <w:rPr>
                <w:sz w:val="18"/>
                <w:szCs w:val="18"/>
              </w:rPr>
              <w:t xml:space="preserve">Hemoglobin A1c Control for Diabetics</w:t>
            </w:r>
          </w:p>
        </w:tc>
        <w:tc>
          <w:tcPr>
            <w:tcW w:type="dxa" w:w="3200"/>
          </w:tcPr>
          <w:p>
            <w:r>
              <w:rPr>
                <w:sz w:val="18"/>
                <w:szCs w:val="18"/>
              </w:rPr>
              <w:t xml:space="preserve">Members 18–75 with type 1 or type 2 diabetes</w:t>
            </w:r>
          </w:p>
        </w:tc>
        <w:tc>
          <w:tcPr>
            <w:tcW w:type="dxa" w:w="3200"/>
          </w:tcPr>
          <w:p>
            <w:r>
              <w:rPr>
                <w:sz w:val="18"/>
                <w:szCs w:val="18"/>
              </w:rPr>
              <w:t xml:space="preserve">Most recent A1c result &lt;9.0%</w:t>
            </w:r>
          </w:p>
        </w:tc>
        <w:tc>
          <w:tcPr>
            <w:tcW w:type="dxa" w:w="1500"/>
          </w:tcPr>
          <w:p>
            <w:r>
              <w:rPr>
                <w:sz w:val="18"/>
                <w:szCs w:val="18"/>
              </w:rPr>
              <w:t xml:space="preserve">1 year</w:t>
            </w:r>
          </w:p>
        </w:tc>
      </w:tr>
      <w:tr>
        <w:tc>
          <w:tcPr>
            <w:tcW w:type="dxa" w:w="900"/>
          </w:tcPr>
          <w:p>
            <w:r>
              <w:rPr>
                <w:sz w:val="18"/>
                <w:szCs w:val="18"/>
              </w:rPr>
              <w:t xml:space="preserve">EED</w:t>
            </w:r>
          </w:p>
        </w:tc>
        <w:tc>
          <w:tcPr>
            <w:tcW w:type="dxa" w:w="2200"/>
          </w:tcPr>
          <w:p>
            <w:r>
              <w:rPr>
                <w:sz w:val="18"/>
                <w:szCs w:val="18"/>
              </w:rPr>
              <w:t xml:space="preserve">Diabetic Eye Exam</w:t>
            </w:r>
          </w:p>
        </w:tc>
        <w:tc>
          <w:tcPr>
            <w:tcW w:type="dxa" w:w="3200"/>
          </w:tcPr>
          <w:p>
            <w:r>
              <w:rPr>
                <w:sz w:val="18"/>
                <w:szCs w:val="18"/>
              </w:rPr>
              <w:t xml:space="preserve">Members with diabetes</w:t>
            </w:r>
          </w:p>
        </w:tc>
        <w:tc>
          <w:tcPr>
            <w:tcW w:type="dxa" w:w="3200"/>
          </w:tcPr>
          <w:p>
            <w:r>
              <w:rPr>
                <w:sz w:val="18"/>
                <w:szCs w:val="18"/>
              </w:rPr>
              <w:t xml:space="preserve">Retinal / ophthalmologic exam performed</w:t>
            </w:r>
          </w:p>
        </w:tc>
        <w:tc>
          <w:tcPr>
            <w:tcW w:type="dxa" w:w="1500"/>
          </w:tcPr>
          <w:p>
            <w:r>
              <w:rPr>
                <w:sz w:val="18"/>
                <w:szCs w:val="18"/>
              </w:rPr>
              <w:t xml:space="preserve">1 year</w:t>
            </w:r>
          </w:p>
        </w:tc>
      </w:tr>
      <w:tr>
        <w:tc>
          <w:tcPr>
            <w:tcW w:type="dxa" w:w="900"/>
          </w:tcPr>
          <w:p>
            <w:r>
              <w:rPr>
                <w:sz w:val="18"/>
                <w:szCs w:val="18"/>
              </w:rPr>
              <w:t xml:space="preserve">SPD</w:t>
            </w:r>
          </w:p>
        </w:tc>
        <w:tc>
          <w:tcPr>
            <w:tcW w:type="dxa" w:w="2200"/>
          </w:tcPr>
          <w:p>
            <w:r>
              <w:rPr>
                <w:sz w:val="18"/>
                <w:szCs w:val="18"/>
              </w:rPr>
              <w:t xml:space="preserve">Statin Therapy for Diabetics</w:t>
            </w:r>
          </w:p>
        </w:tc>
        <w:tc>
          <w:tcPr>
            <w:tcW w:type="dxa" w:w="3200"/>
          </w:tcPr>
          <w:p>
            <w:r>
              <w:rPr>
                <w:sz w:val="18"/>
                <w:szCs w:val="18"/>
              </w:rPr>
              <w:t xml:space="preserve">Members age 40–75 with diabetes, no statin allergy/contraindication</w:t>
            </w:r>
          </w:p>
        </w:tc>
        <w:tc>
          <w:tcPr>
            <w:tcW w:type="dxa" w:w="3200"/>
          </w:tcPr>
          <w:p>
            <w:r>
              <w:rPr>
                <w:sz w:val="18"/>
                <w:szCs w:val="18"/>
              </w:rPr>
              <w:t xml:space="preserve">Filled/active statin medication</w:t>
            </w:r>
          </w:p>
        </w:tc>
        <w:tc>
          <w:tcPr>
            <w:tcW w:type="dxa" w:w="1500"/>
          </w:tcPr>
          <w:p>
            <w:r>
              <w:rPr>
                <w:sz w:val="18"/>
                <w:szCs w:val="18"/>
              </w:rPr>
              <w:t xml:space="preserve">Current</w:t>
            </w:r>
          </w:p>
        </w:tc>
      </w:tr>
      <w:tr>
        <w:tc>
          <w:tcPr>
            <w:tcW w:type="dxa" w:w="900"/>
          </w:tcPr>
          <w:p>
            <w:r>
              <w:rPr>
                <w:sz w:val="18"/>
                <w:szCs w:val="18"/>
              </w:rPr>
              <w:t xml:space="preserve">KED</w:t>
            </w:r>
          </w:p>
        </w:tc>
        <w:tc>
          <w:tcPr>
            <w:tcW w:type="dxa" w:w="2200"/>
          </w:tcPr>
          <w:p>
            <w:r>
              <w:rPr>
                <w:sz w:val="18"/>
                <w:szCs w:val="18"/>
              </w:rPr>
              <w:t xml:space="preserve">Kidney Health Evaluation for Diabetics</w:t>
            </w:r>
          </w:p>
        </w:tc>
        <w:tc>
          <w:tcPr>
            <w:tcW w:type="dxa" w:w="3200"/>
          </w:tcPr>
          <w:p>
            <w:r>
              <w:rPr>
                <w:sz w:val="18"/>
                <w:szCs w:val="18"/>
              </w:rPr>
              <w:t xml:space="preserve">Members with diabetes</w:t>
            </w:r>
          </w:p>
        </w:tc>
        <w:tc>
          <w:tcPr>
            <w:tcW w:type="dxa" w:w="3200"/>
          </w:tcPr>
          <w:p>
            <w:r>
              <w:rPr>
                <w:sz w:val="18"/>
                <w:szCs w:val="18"/>
              </w:rPr>
              <w:t xml:space="preserve">eGFR (Glomerular Filtration Rate) test on record</w:t>
            </w:r>
          </w:p>
        </w:tc>
        <w:tc>
          <w:tcPr>
            <w:tcW w:type="dxa" w:w="1500"/>
          </w:tcPr>
          <w:p>
            <w:r>
              <w:rPr>
                <w:sz w:val="18"/>
                <w:szCs w:val="18"/>
              </w:rPr>
              <w:t xml:space="preserve">1 year</w:t>
            </w:r>
          </w:p>
        </w:tc>
      </w:tr>
      <w:tr>
        <w:tc>
          <w:tcPr>
            <w:tcW w:type="dxa" w:w="900"/>
          </w:tcPr>
          <w:p>
            <w:r>
              <w:rPr>
                <w:sz w:val="18"/>
                <w:szCs w:val="18"/>
              </w:rPr>
              <w:t xml:space="preserve">BCS</w:t>
            </w:r>
          </w:p>
        </w:tc>
        <w:tc>
          <w:tcPr>
            <w:tcW w:type="dxa" w:w="2200"/>
          </w:tcPr>
          <w:p>
            <w:r>
              <w:rPr>
                <w:sz w:val="18"/>
                <w:szCs w:val="18"/>
              </w:rPr>
              <w:t xml:space="preserve">Breast Cancer Screening</w:t>
            </w:r>
          </w:p>
        </w:tc>
        <w:tc>
          <w:tcPr>
            <w:tcW w:type="dxa" w:w="3200"/>
          </w:tcPr>
          <w:p>
            <w:r>
              <w:rPr>
                <w:sz w:val="18"/>
                <w:szCs w:val="18"/>
              </w:rPr>
              <w:t xml:space="preserve">Women age 50–74</w:t>
            </w:r>
          </w:p>
        </w:tc>
        <w:tc>
          <w:tcPr>
            <w:tcW w:type="dxa" w:w="3200"/>
          </w:tcPr>
          <w:p>
            <w:r>
              <w:rPr>
                <w:sz w:val="18"/>
                <w:szCs w:val="18"/>
              </w:rPr>
              <w:t xml:space="preserve">Mammography on record</w:t>
            </w:r>
          </w:p>
        </w:tc>
        <w:tc>
          <w:tcPr>
            <w:tcW w:type="dxa" w:w="1500"/>
          </w:tcPr>
          <w:p>
            <w:r>
              <w:rPr>
                <w:sz w:val="18"/>
                <w:szCs w:val="18"/>
              </w:rPr>
              <w:t xml:space="preserve">2 years</w:t>
            </w:r>
          </w:p>
        </w:tc>
      </w:tr>
      <w:tr>
        <w:tc>
          <w:tcPr>
            <w:tcW w:type="dxa" w:w="900"/>
          </w:tcPr>
          <w:p>
            <w:r>
              <w:rPr>
                <w:sz w:val="18"/>
                <w:szCs w:val="18"/>
              </w:rPr>
              <w:t xml:space="preserve">FVA</w:t>
            </w:r>
          </w:p>
        </w:tc>
        <w:tc>
          <w:tcPr>
            <w:tcW w:type="dxa" w:w="2200"/>
          </w:tcPr>
          <w:p>
            <w:r>
              <w:rPr>
                <w:sz w:val="18"/>
                <w:szCs w:val="18"/>
              </w:rPr>
              <w:t xml:space="preserve">Adult Flu Vaccination</w:t>
            </w:r>
          </w:p>
        </w:tc>
        <w:tc>
          <w:tcPr>
            <w:tcW w:type="dxa" w:w="3200"/>
          </w:tcPr>
          <w:p>
            <w:r>
              <w:rPr>
                <w:sz w:val="18"/>
                <w:szCs w:val="18"/>
              </w:rPr>
              <w:t xml:space="preserve">Members age 18+</w:t>
            </w:r>
          </w:p>
        </w:tc>
        <w:tc>
          <w:tcPr>
            <w:tcW w:type="dxa" w:w="3200"/>
          </w:tcPr>
          <w:p>
            <w:r>
              <w:rPr>
                <w:sz w:val="18"/>
                <w:szCs w:val="18"/>
              </w:rPr>
              <w:t xml:space="preserve">Influenza immunization on record</w:t>
            </w:r>
          </w:p>
        </w:tc>
        <w:tc>
          <w:tcPr>
            <w:tcW w:type="dxa" w:w="1500"/>
          </w:tcPr>
          <w:p>
            <w:r>
              <w:rPr>
                <w:sz w:val="18"/>
                <w:szCs w:val="18"/>
              </w:rPr>
              <w:t xml:space="preserve">1 year (flu season)</w:t>
            </w:r>
          </w:p>
        </w:tc>
      </w:tr>
      <w:tr>
        <w:tc>
          <w:tcPr>
            <w:tcW w:type="dxa" w:w="900"/>
          </w:tcPr>
          <w:p>
            <w:r>
              <w:rPr>
                <w:sz w:val="18"/>
                <w:szCs w:val="18"/>
              </w:rPr>
              <w:t xml:space="preserve">AWV</w:t>
            </w:r>
          </w:p>
        </w:tc>
        <w:tc>
          <w:tcPr>
            <w:tcW w:type="dxa" w:w="2200"/>
          </w:tcPr>
          <w:p>
            <w:r>
              <w:rPr>
                <w:sz w:val="18"/>
                <w:szCs w:val="18"/>
              </w:rPr>
              <w:t xml:space="preserve">Annual Wellness Visit</w:t>
            </w:r>
          </w:p>
        </w:tc>
        <w:tc>
          <w:tcPr>
            <w:tcW w:type="dxa" w:w="3200"/>
          </w:tcPr>
          <w:p>
            <w:r>
              <w:rPr>
                <w:sz w:val="18"/>
                <w:szCs w:val="18"/>
              </w:rPr>
              <w:t xml:space="preserve">Members age 18+</w:t>
            </w:r>
          </w:p>
        </w:tc>
        <w:tc>
          <w:tcPr>
            <w:tcW w:type="dxa" w:w="3200"/>
          </w:tcPr>
          <w:p>
            <w:r>
              <w:rPr>
                <w:sz w:val="18"/>
                <w:szCs w:val="18"/>
              </w:rPr>
              <w:t xml:space="preserve">Wellness / annual preventive visit or general exam on record</w:t>
            </w:r>
          </w:p>
        </w:tc>
        <w:tc>
          <w:tcPr>
            <w:tcW w:type="dxa" w:w="1500"/>
          </w:tcPr>
          <w:p>
            <w:r>
              <w:rPr>
                <w:sz w:val="18"/>
                <w:szCs w:val="18"/>
              </w:rPr>
              <w:t xml:space="preserve">1 year</w:t>
            </w:r>
          </w:p>
        </w:tc>
      </w:tr>
      <w:tr>
        <w:tc>
          <w:tcPr>
            <w:tcW w:type="dxa" w:w="900"/>
          </w:tcPr>
          <w:p>
            <w:r>
              <w:rPr>
                <w:sz w:val="18"/>
                <w:szCs w:val="18"/>
              </w:rPr>
              <w:t xml:space="preserve">MRP</w:t>
            </w:r>
          </w:p>
        </w:tc>
        <w:tc>
          <w:tcPr>
            <w:tcW w:type="dxa" w:w="2200"/>
          </w:tcPr>
          <w:p>
            <w:r>
              <w:rPr>
                <w:sz w:val="18"/>
                <w:szCs w:val="18"/>
              </w:rPr>
              <w:t xml:space="preserve">Medication Reconciliation Post-Encounter</w:t>
            </w:r>
          </w:p>
        </w:tc>
        <w:tc>
          <w:tcPr>
            <w:tcW w:type="dxa" w:w="3200"/>
          </w:tcPr>
          <w:p>
            <w:r>
              <w:rPr>
                <w:sz w:val="18"/>
                <w:szCs w:val="18"/>
              </w:rPr>
              <w:t xml:space="preserve">All members with any encounter</w:t>
            </w:r>
          </w:p>
        </w:tc>
        <w:tc>
          <w:tcPr>
            <w:tcW w:type="dxa" w:w="3200"/>
          </w:tcPr>
          <w:p>
            <w:r>
              <w:rPr>
                <w:sz w:val="18"/>
                <w:szCs w:val="18"/>
              </w:rPr>
              <w:t xml:space="preserve">Medication reconciliation procedure on record</w:t>
            </w:r>
          </w:p>
        </w:tc>
        <w:tc>
          <w:tcPr>
            <w:tcW w:type="dxa" w:w="1500"/>
          </w:tcPr>
          <w:p>
            <w:r>
              <w:rPr>
                <w:sz w:val="18"/>
                <w:szCs w:val="18"/>
              </w:rPr>
              <w:t xml:space="preserve">1 year</w:t>
            </w:r>
          </w:p>
        </w:tc>
      </w:tr>
    </w:tbl>
    <w:p>
      <w:pPr>
        <w:pStyle w:val="Heading1"/>
        <w:spacing w:after="150" w:before="300"/>
      </w:pPr>
      <w:r>
        <w:t xml:space="preserve">3. Plan-by-Plan Criteria</w:t>
      </w:r>
    </w:p>
    <w:p>
      <w:pPr>
        <w:pStyle w:val="Heading2"/>
        <w:spacing w:after="100" w:before="240"/>
      </w:pPr>
      <w:r>
        <w:t xml:space="preserve">Medicare  (GOVERNMENT)</w:t>
      </w:r>
    </w:p>
    <w:p>
      <w:pPr>
        <w:spacing w:after="100"/>
      </w:pPr>
      <w:r>
        <w:rPr>
          <w:b/>
          <w:bCs/>
          <w:sz w:val="20"/>
          <w:szCs w:val="20"/>
        </w:rPr>
        <w:t xml:space="preserve">Medicare Advantage (Part C) — CMS Star Ratings</w:t>
      </w:r>
    </w:p>
    <w:p>
      <w:pPr>
        <w:spacing w:after="100"/>
      </w:pPr>
      <w:r>
        <w:t xml:space="preserve">Traditional/Medicare Advantage population. CMS Star Ratings (1–5 stars) are calculated annually from HEDIS clinical measures, HOS survey results, CAHPS member experience, and Part D measures. Overall plan Star Rating drives quality bonus payments and rebate levels.</w:t>
      </w:r>
    </w:p>
    <w:p>
      <w:pPr>
        <w:spacing w:after="100"/>
      </w:pPr>
      <w:r>
        <w:rPr>
          <w:b/>
          <w:bCs/>
        </w:rPr>
        <w:t xml:space="preserve">Applicable Star/HEDIS measures:</w:t>
      </w:r>
    </w:p>
    <w:p>
      <w:pPr>
        <w:spacing w:after="100"/>
      </w:pPr>
      <w:r>
        <w:t xml:space="preserve">CBP (Controlling Blood Pressure), HBD_C7 (Diabetes — Blood Sugar Controlled), FVA (Annual Flu Vaccine). CBP and HBD_C7 are CMS Intermediate Outcome Measures, triple-weighted (weight 3) for 2026/2027; FVA is a Process Measure, weight 1.</w:t>
      </w:r>
    </w:p>
    <w:p>
      <w:pPr>
        <w:spacing w:after="100"/>
      </w:pPr>
      <w:r>
        <w:rPr>
          <w:b/>
          <w:bCs/>
        </w:rPr>
        <w:t xml:space="preserve">Enrollment / Start Criteria:</w:t>
      </w:r>
    </w:p>
    <w:p>
      <w:pPr>
        <w:pStyle w:val="ListParagraph"/>
        <w:numPr>
          <w:ilvl w:val="0"/>
          <w:numId w:val="1"/>
        </w:numPr>
        <w:spacing w:after="60"/>
      </w:pPr>
      <w:r>
        <w:t xml:space="preserve">Age 65+ OR under 65 with qualifying disability (SSDI 24-month waiting period) OR ESRD/ALS special enrollment.</w:t>
      </w:r>
    </w:p>
    <w:p>
      <w:pPr>
        <w:pStyle w:val="ListParagraph"/>
        <w:numPr>
          <w:ilvl w:val="0"/>
          <w:numId w:val="1"/>
        </w:numPr>
        <w:spacing w:after="60"/>
      </w:pPr>
      <w:r>
        <w:t xml:space="preserve">Enrollment periods: Initial Enrollment Period (IEP), Annual Election Period (AEP, Oct 15–Dec 7), Medicare Advantage Open Enrollment Period (MA OEP, Jan 1–Mar 31), and Special Enrollment Periods (SEP) for qualifying life events.</w:t>
      </w:r>
    </w:p>
    <w:p>
      <w:pPr>
        <w:pStyle w:val="ListParagraph"/>
        <w:numPr>
          <w:ilvl w:val="0"/>
          <w:numId w:val="1"/>
        </w:numPr>
        <w:spacing w:after="60"/>
      </w:pPr>
      <w:r>
        <w:t xml:space="preserve">Must reside in the plan's CMS-approved service area.</w:t>
      </w:r>
    </w:p>
    <w:p>
      <w:pPr>
        <w:pStyle w:val="ListParagraph"/>
        <w:numPr>
          <w:ilvl w:val="0"/>
          <w:numId w:val="1"/>
        </w:numPr>
        <w:spacing w:after="60"/>
      </w:pPr>
      <w:r>
        <w:t xml:space="preserve">Must not have End-Stage Renal Disease at enrollment for standard MA plans (unless C-SNP/D-SNP exception applies).</w:t>
      </w:r>
    </w:p>
    <w:p>
      <w:pPr>
        <w:pStyle w:val="ListParagraph"/>
        <w:numPr>
          <w:ilvl w:val="0"/>
          <w:numId w:val="1"/>
        </w:numPr>
        <w:spacing w:after="60"/>
      </w:pPr>
      <w:r>
        <w:t xml:space="preserve">Star measure performance period runs on the CMS measurement year; a member must have at least 12 months' continuous enrollment in most measures' "continuous enrollment" denominator criteria.</w:t>
      </w:r>
    </w:p>
    <w:p>
      <w:pPr>
        <w:pStyle w:val="Heading2"/>
        <w:spacing w:after="100" w:before="240"/>
      </w:pPr>
      <w:r>
        <w:t xml:space="preserve">Dual Eligible  (GOVERNMENT)</w:t>
      </w:r>
    </w:p>
    <w:p>
      <w:pPr>
        <w:spacing w:after="100"/>
      </w:pPr>
      <w:r>
        <w:rPr>
          <w:b/>
          <w:bCs/>
          <w:sz w:val="20"/>
          <w:szCs w:val="20"/>
        </w:rPr>
        <w:t xml:space="preserve">Dual Eligible Special Needs Plan (D-SNP) — CMS Star Ratings</w:t>
      </w:r>
    </w:p>
    <w:p>
      <w:pPr>
        <w:spacing w:after="100"/>
      </w:pPr>
      <w:r>
        <w:t xml:space="preserve">Members eligible for both Medicare and Medicaid. D-SNPs are rated under the same CMS Star Rating methodology as standard MA plans, with additional emphasis on care coordination and chronic-disease process measures given higher clinical complexity.</w:t>
      </w:r>
    </w:p>
    <w:p>
      <w:pPr>
        <w:spacing w:after="100"/>
      </w:pPr>
      <w:r>
        <w:rPr>
          <w:b/>
          <w:bCs/>
        </w:rPr>
        <w:t xml:space="preserve">Applicable Star/HEDIS measures:</w:t>
      </w:r>
    </w:p>
    <w:p>
      <w:pPr>
        <w:spacing w:after="100"/>
      </w:pPr>
      <w:r>
        <w:t xml:space="preserve">CBP (Controlling Blood Pressure), KED (Kidney Health Evaluation for Diabetics), EED (Diabetic Eye Exam). CBP is triple-weighted (weight 3); KED and EED are Process Measures, weight 1 each.</w:t>
      </w:r>
    </w:p>
    <w:p>
      <w:pPr>
        <w:spacing w:after="100"/>
      </w:pPr>
      <w:r>
        <w:rPr>
          <w:b/>
          <w:bCs/>
        </w:rPr>
        <w:t xml:space="preserve">Enrollment / Start Criteria:</w:t>
      </w:r>
    </w:p>
    <w:p>
      <w:pPr>
        <w:pStyle w:val="ListParagraph"/>
        <w:numPr>
          <w:ilvl w:val="0"/>
          <w:numId w:val="1"/>
        </w:numPr>
        <w:spacing w:after="60"/>
      </w:pPr>
      <w:r>
        <w:t xml:space="preserve">Must be entitled to Medicare Part A and enrolled in Part B.</w:t>
      </w:r>
    </w:p>
    <w:p>
      <w:pPr>
        <w:pStyle w:val="ListParagraph"/>
        <w:numPr>
          <w:ilvl w:val="0"/>
          <w:numId w:val="1"/>
        </w:numPr>
        <w:spacing w:after="60"/>
      </w:pPr>
      <w:r>
        <w:t xml:space="preserve">Must be eligible for Medicaid under the state's applicable eligibility category (full or partial dual).</w:t>
      </w:r>
    </w:p>
    <w:p>
      <w:pPr>
        <w:pStyle w:val="ListParagraph"/>
        <w:numPr>
          <w:ilvl w:val="0"/>
          <w:numId w:val="1"/>
        </w:numPr>
        <w:spacing w:after="60"/>
      </w:pPr>
      <w:r>
        <w:t xml:space="preserve">State Medicaid agency and CMS both verify eligibility; re-verification typically occurs monthly or quarterly depending on state Medicaid rules.</w:t>
      </w:r>
    </w:p>
    <w:p>
      <w:pPr>
        <w:pStyle w:val="ListParagraph"/>
        <w:numPr>
          <w:ilvl w:val="0"/>
          <w:numId w:val="1"/>
        </w:numPr>
        <w:spacing w:after="60"/>
      </w:pPr>
      <w:r>
        <w:t xml:space="preserve">Enrollment periods: Special Enrollment Period for dual-eligible individuals allows enrollment/disenrollment monthly, in addition to standard IEP/AEP/MA OEP windows.</w:t>
      </w:r>
    </w:p>
    <w:p>
      <w:pPr>
        <w:pStyle w:val="ListParagraph"/>
        <w:numPr>
          <w:ilvl w:val="0"/>
          <w:numId w:val="1"/>
        </w:numPr>
        <w:spacing w:after="60"/>
      </w:pPr>
      <w:r>
        <w:t xml:space="preserve">Continuous enrollment requirement for most Star measures mirrors standard MA (~12 months), with CMS allowing adjustment for member disenrollment/re-enrollment churn common in dual populations.</w:t>
      </w:r>
    </w:p>
    <w:p>
      <w:pPr>
        <w:pStyle w:val="Heading2"/>
        <w:spacing w:after="100" w:before="240"/>
      </w:pPr>
      <w:r>
        <w:t xml:space="preserve">Medicaid  (GOVERNMENT)</w:t>
      </w:r>
    </w:p>
    <w:p>
      <w:pPr>
        <w:spacing w:after="100"/>
      </w:pPr>
      <w:r>
        <w:rPr>
          <w:b/>
          <w:bCs/>
          <w:sz w:val="20"/>
          <w:szCs w:val="20"/>
        </w:rPr>
        <w:t xml:space="preserve">Medicaid Managed Care — Adult Core Set / State Quality Withhold</w:t>
      </w:r>
    </w:p>
    <w:p>
      <w:pPr>
        <w:spacing w:after="100"/>
      </w:pPr>
      <w:r>
        <w:t xml:space="preserve">State Medicaid managed care organization (MCO) population. Not subject to CMS Star Ratings directly, but states apply CMS Adult Core Set quality measures (HEDIS-aligned) for quality withholds, pay-for-performance, and NCQA accreditation scoring.</w:t>
      </w:r>
    </w:p>
    <w:p>
      <w:pPr>
        <w:spacing w:after="100"/>
      </w:pPr>
      <w:r>
        <w:rPr>
          <w:b/>
          <w:bCs/>
        </w:rPr>
        <w:t xml:space="preserve">Applicable Star/HEDIS measures:</w:t>
      </w:r>
    </w:p>
    <w:p>
      <w:pPr>
        <w:spacing w:after="100"/>
      </w:pPr>
      <w:r>
        <w:t xml:space="preserve">CBP (Controlling Blood Pressure), BCS (Breast Cancer Screening), AWV (Annual Wellness Visit). Note: the Adult Core Set's immunization measure was made a voluntary, non-payment-tied utilization measure by CMS's December 2025 letter to states for measurement years 2026–2027, so a flu/immunization criterion is intentionally not scored for this plan.</w:t>
      </w:r>
    </w:p>
    <w:p>
      <w:pPr>
        <w:spacing w:after="100"/>
      </w:pPr>
      <w:r>
        <w:rPr>
          <w:b/>
          <w:bCs/>
        </w:rPr>
        <w:t xml:space="preserve">Enrollment / Start Criteria:</w:t>
      </w:r>
    </w:p>
    <w:p>
      <w:pPr>
        <w:pStyle w:val="ListParagraph"/>
        <w:numPr>
          <w:ilvl w:val="0"/>
          <w:numId w:val="1"/>
        </w:numPr>
        <w:spacing w:after="60"/>
      </w:pPr>
      <w:r>
        <w:t xml:space="preserve">Eligibility determined by state Medicaid agency based on income (as % of Federal Poverty Level), household size, and category (e.g., pregnancy, disability, low-income adult expansion group).</w:t>
      </w:r>
    </w:p>
    <w:p>
      <w:pPr>
        <w:pStyle w:val="ListParagraph"/>
        <w:numPr>
          <w:ilvl w:val="0"/>
          <w:numId w:val="1"/>
        </w:numPr>
        <w:spacing w:after="60"/>
      </w:pPr>
      <w:r>
        <w:t xml:space="preserve">Redetermination occurs annually per state Medicaid rules (post-continuous-enrollment unwinding, states resumed standard 12-month redetermination cycles).</w:t>
      </w:r>
    </w:p>
    <w:p>
      <w:pPr>
        <w:pStyle w:val="ListParagraph"/>
        <w:numPr>
          <w:ilvl w:val="0"/>
          <w:numId w:val="1"/>
        </w:numPr>
        <w:spacing w:after="60"/>
      </w:pPr>
      <w:r>
        <w:t xml:space="preserve">Enrollment is generally continuous/rolling — no defined annual enrollment period like Medicare; members may enroll upon eligibility determination.</w:t>
      </w:r>
    </w:p>
    <w:p>
      <w:pPr>
        <w:pStyle w:val="ListParagraph"/>
        <w:numPr>
          <w:ilvl w:val="0"/>
          <w:numId w:val="1"/>
        </w:numPr>
        <w:spacing w:after="60"/>
      </w:pPr>
      <w:r>
        <w:t xml:space="preserve">MCO auto-assignment or plan choice occurs within a state-defined enrollment window (commonly 90 days) after Medicaid eligibility is established.</w:t>
      </w:r>
    </w:p>
    <w:p>
      <w:pPr>
        <w:pStyle w:val="ListParagraph"/>
        <w:numPr>
          <w:ilvl w:val="0"/>
          <w:numId w:val="1"/>
        </w:numPr>
        <w:spacing w:after="60"/>
      </w:pPr>
      <w:r>
        <w:t xml:space="preserve">Quality measurement uses the CMS Medicaid Adult Core Set on a calendar-year basis; most measures require continuous enrollment for the measurement year with allowance for one gap in enrollment up to 45 days.</w:t>
      </w:r>
    </w:p>
    <w:p>
      <w:pPr>
        <w:pStyle w:val="Heading2"/>
        <w:spacing w:after="100" w:before="240"/>
      </w:pPr>
      <w:r>
        <w:t xml:space="preserve">Humana  (PRIVATE)</w:t>
      </w:r>
    </w:p>
    <w:p>
      <w:pPr>
        <w:spacing w:after="100"/>
      </w:pPr>
      <w:r>
        <w:rPr>
          <w:b/>
          <w:bCs/>
          <w:sz w:val="20"/>
          <w:szCs w:val="20"/>
        </w:rPr>
        <w:t xml:space="preserve">Medicare Advantage Prescription Drug (MA-PD) — CMS Star Ratings</w:t>
      </w:r>
    </w:p>
    <w:p>
      <w:pPr>
        <w:spacing w:after="100"/>
      </w:pPr>
      <w:r>
        <w:t xml:space="preserve">Large MA-PD book of business. Criteria mirror the two true CMS triple-weighted intermediate outcome measures plus statin adherence, reflecting Humana's chronic-disease and pharmacy-adherence emphasis.</w:t>
      </w:r>
    </w:p>
    <w:p>
      <w:pPr>
        <w:spacing w:after="100"/>
      </w:pPr>
      <w:r>
        <w:rPr>
          <w:b/>
          <w:bCs/>
        </w:rPr>
        <w:t xml:space="preserve">Applicable Star/HEDIS measures:</w:t>
      </w:r>
    </w:p>
    <w:p>
      <w:pPr>
        <w:spacing w:after="100"/>
      </w:pPr>
      <w:r>
        <w:t xml:space="preserve">CBP (Controlling Blood Pressure), HBD_C7 (Diabetes — Blood Sugar Controlled), SPD (Statin Therapy for Diabetics, part of the Part D SUPD measure family).</w:t>
      </w:r>
    </w:p>
    <w:p>
      <w:pPr>
        <w:spacing w:after="100"/>
      </w:pPr>
      <w:r>
        <w:rPr>
          <w:b/>
          <w:bCs/>
        </w:rPr>
        <w:t xml:space="preserve">Enrollment / Start Criteria:</w:t>
      </w:r>
    </w:p>
    <w:p>
      <w:pPr>
        <w:pStyle w:val="ListParagraph"/>
        <w:numPr>
          <w:ilvl w:val="0"/>
          <w:numId w:val="1"/>
        </w:numPr>
        <w:spacing w:after="60"/>
      </w:pPr>
      <w:r>
        <w:t xml:space="preserve">Same Medicare Advantage eligibility as the Medicare section (age/disability, IEP/AEP/MA OEP, CMS-approved service area) — Humana is a CMS-contracted MA-PD carrier.</w:t>
      </w:r>
    </w:p>
    <w:p>
      <w:pPr>
        <w:pStyle w:val="ListParagraph"/>
        <w:numPr>
          <w:ilvl w:val="0"/>
          <w:numId w:val="1"/>
        </w:numPr>
        <w:spacing w:after="60"/>
      </w:pPr>
      <w:r>
        <w:t xml:space="preserve">Continuous enrollment requirement: ~12 months for most Star measures, with the standard allowable 45-day gap.</w:t>
      </w:r>
    </w:p>
    <w:p>
      <w:pPr>
        <w:pStyle w:val="Heading2"/>
        <w:spacing w:after="100" w:before="240"/>
      </w:pPr>
      <w:r>
        <w:t xml:space="preserve">Blue Cross Blue Shield  (PRIVATE)</w:t>
      </w:r>
    </w:p>
    <w:p>
      <w:pPr>
        <w:spacing w:after="100"/>
      </w:pPr>
      <w:r>
        <w:rPr>
          <w:b/>
          <w:bCs/>
          <w:sz w:val="20"/>
          <w:szCs w:val="20"/>
        </w:rPr>
        <w:t xml:space="preserve">Commercial / Medicare Advantage — HEDIS preventive-screening focus</w:t>
      </w:r>
    </w:p>
    <w:p>
      <w:pPr>
        <w:spacing w:after="100"/>
      </w:pPr>
      <w:r>
        <w:t xml:space="preserve">Broad commercial and MA book. Criteria emphasize preventive screening and vaccination, consistent with BCBS's population-health/prevention program focus.</w:t>
      </w:r>
    </w:p>
    <w:p>
      <w:pPr>
        <w:spacing w:after="100"/>
      </w:pPr>
      <w:r>
        <w:rPr>
          <w:b/>
          <w:bCs/>
        </w:rPr>
        <w:t xml:space="preserve">Applicable Star/HEDIS measures:</w:t>
      </w:r>
    </w:p>
    <w:p>
      <w:pPr>
        <w:spacing w:after="100"/>
      </w:pPr>
      <w:r>
        <w:t xml:space="preserve">BCS (Breast Cancer Screening), AWV (Annual Wellness Visit), FVA (Annual Flu Vaccine).</w:t>
      </w:r>
    </w:p>
    <w:p>
      <w:pPr>
        <w:spacing w:after="100"/>
      </w:pPr>
      <w:r>
        <w:rPr>
          <w:b/>
          <w:bCs/>
        </w:rPr>
        <w:t xml:space="preserve">Enrollment / Start Criteria:</w:t>
      </w:r>
    </w:p>
    <w:p>
      <w:pPr>
        <w:pStyle w:val="ListParagraph"/>
        <w:numPr>
          <w:ilvl w:val="0"/>
          <w:numId w:val="1"/>
        </w:numPr>
        <w:spacing w:after="60"/>
      </w:pPr>
      <w:r>
        <w:t xml:space="preserve">Commercial group coverage: enrollment tied to employer plan year and qualifying life events (job start, marriage, birth, loss of other coverage) under a defined open enrollment period.</w:t>
      </w:r>
    </w:p>
    <w:p>
      <w:pPr>
        <w:pStyle w:val="ListParagraph"/>
        <w:numPr>
          <w:ilvl w:val="0"/>
          <w:numId w:val="1"/>
        </w:numPr>
        <w:spacing w:after="60"/>
      </w:pPr>
      <w:r>
        <w:t xml:space="preserve">Individual/ACA marketplace coverage: Open Enrollment Period (Nov 1–Jan 15 in most states) or a Special Enrollment Period for qualifying events.</w:t>
      </w:r>
    </w:p>
    <w:p>
      <w:pPr>
        <w:pStyle w:val="ListParagraph"/>
        <w:numPr>
          <w:ilvl w:val="0"/>
          <w:numId w:val="1"/>
        </w:numPr>
        <w:spacing w:after="60"/>
      </w:pPr>
      <w:r>
        <w:t xml:space="preserve">Where BCBS operates a Medicare Advantage product: identical start criteria to the Medicare section (age/disability eligibility, IEP/AEP/MA OEP, service area residency).</w:t>
      </w:r>
    </w:p>
    <w:p>
      <w:pPr>
        <w:pStyle w:val="ListParagraph"/>
        <w:numPr>
          <w:ilvl w:val="0"/>
          <w:numId w:val="1"/>
        </w:numPr>
        <w:spacing w:after="60"/>
      </w:pPr>
      <w:r>
        <w:t xml:space="preserve">Continuous enrollment requirement: most HEDIS measures require 12 months' continuous enrollment with an allowable gap of no more than 45 days.</w:t>
      </w:r>
    </w:p>
    <w:p>
      <w:pPr>
        <w:pStyle w:val="Heading2"/>
        <w:spacing w:after="100" w:before="240"/>
      </w:pPr>
      <w:r>
        <w:t xml:space="preserve">UnitedHealthcare  (PRIVATE)</w:t>
      </w:r>
    </w:p>
    <w:p>
      <w:pPr>
        <w:spacing w:after="100"/>
      </w:pPr>
      <w:r>
        <w:rPr>
          <w:b/>
          <w:bCs/>
          <w:sz w:val="20"/>
          <w:szCs w:val="20"/>
        </w:rPr>
        <w:t xml:space="preserve">Medicare Advantage Prescription Drug (MA-PD) — CMS Star Ratings</w:t>
      </w:r>
    </w:p>
    <w:p>
      <w:pPr>
        <w:spacing w:after="100"/>
      </w:pPr>
      <w:r>
        <w:t xml:space="preserve">Nation's largest MA-PD carrier. Criteria emphasize diabetes outcome control alongside preventive vaccination and kidney monitoring.</w:t>
      </w:r>
    </w:p>
    <w:p>
      <w:pPr>
        <w:spacing w:after="100"/>
      </w:pPr>
      <w:r>
        <w:rPr>
          <w:b/>
          <w:bCs/>
        </w:rPr>
        <w:t xml:space="preserve">Applicable Star/HEDIS measures:</w:t>
      </w:r>
    </w:p>
    <w:p>
      <w:pPr>
        <w:spacing w:after="100"/>
      </w:pPr>
      <w:r>
        <w:t xml:space="preserve">HBD_C7 (Diabetes — Blood Sugar Controlled), FVA (Annual Flu Vaccine), KED (Kidney Health Evaluation for Diabetics).</w:t>
      </w:r>
    </w:p>
    <w:p>
      <w:pPr>
        <w:spacing w:after="100"/>
      </w:pPr>
      <w:r>
        <w:rPr>
          <w:b/>
          <w:bCs/>
        </w:rPr>
        <w:t xml:space="preserve">Enrollment / Start Criteria:</w:t>
      </w:r>
    </w:p>
    <w:p>
      <w:pPr>
        <w:pStyle w:val="ListParagraph"/>
        <w:numPr>
          <w:ilvl w:val="0"/>
          <w:numId w:val="1"/>
        </w:numPr>
        <w:spacing w:after="60"/>
      </w:pPr>
      <w:r>
        <w:t xml:space="preserve">Same Medicare Advantage eligibility as the Medicare section (age/disability, IEP/AEP/MA OEP, CMS-approved service area) — UnitedHealthcare is a CMS-contracted MA-PD carrier.</w:t>
      </w:r>
    </w:p>
    <w:p>
      <w:pPr>
        <w:pStyle w:val="ListParagraph"/>
        <w:numPr>
          <w:ilvl w:val="0"/>
          <w:numId w:val="1"/>
        </w:numPr>
        <w:spacing w:after="60"/>
      </w:pPr>
      <w:r>
        <w:t xml:space="preserve">Continuous enrollment requirement: ~12 months for most Star measures, with the standard allowable 45-day gap.</w:t>
      </w:r>
    </w:p>
    <w:p>
      <w:pPr>
        <w:pStyle w:val="Heading2"/>
        <w:spacing w:after="100" w:before="240"/>
      </w:pPr>
      <w:r>
        <w:t xml:space="preserve">Aetna  (PRIVATE)</w:t>
      </w:r>
    </w:p>
    <w:p>
      <w:pPr>
        <w:spacing w:after="100"/>
      </w:pPr>
      <w:r>
        <w:rPr>
          <w:b/>
          <w:bCs/>
          <w:sz w:val="20"/>
          <w:szCs w:val="20"/>
        </w:rPr>
        <w:t xml:space="preserve">Medicare Advantage (CVS Health) — CMS Star Ratings, pharmacy-adherence focus</w:t>
      </w:r>
    </w:p>
    <w:p>
      <w:pPr>
        <w:spacing w:after="100"/>
      </w:pPr>
      <w:r>
        <w:t xml:space="preserve">Aetna's CVS Health integration supports a pharmacy-adherence emphasis; criteria combine statin therapy, blood pressure control, and post-encounter medication reconciliation.</w:t>
      </w:r>
    </w:p>
    <w:p>
      <w:pPr>
        <w:spacing w:after="100"/>
      </w:pPr>
      <w:r>
        <w:rPr>
          <w:b/>
          <w:bCs/>
        </w:rPr>
        <w:t xml:space="preserve">Applicable Star/HEDIS measures:</w:t>
      </w:r>
    </w:p>
    <w:p>
      <w:pPr>
        <w:spacing w:after="100"/>
      </w:pPr>
      <w:r>
        <w:t xml:space="preserve">SPD (Statin Therapy for Diabetics), CBP (Controlling Blood Pressure), MRP (Medication Reconciliation Post-Encounter/Discharge).</w:t>
      </w:r>
    </w:p>
    <w:p>
      <w:pPr>
        <w:spacing w:after="100"/>
      </w:pPr>
      <w:r>
        <w:rPr>
          <w:b/>
          <w:bCs/>
        </w:rPr>
        <w:t xml:space="preserve">Enrollment / Start Criteria:</w:t>
      </w:r>
    </w:p>
    <w:p>
      <w:pPr>
        <w:pStyle w:val="ListParagraph"/>
        <w:numPr>
          <w:ilvl w:val="0"/>
          <w:numId w:val="1"/>
        </w:numPr>
        <w:spacing w:after="60"/>
      </w:pPr>
      <w:r>
        <w:t xml:space="preserve">Same Medicare Advantage eligibility as the Medicare section (age/disability, IEP/AEP/MA OEP, CMS-approved service area) — Aetna is a CMS-contracted MA-PD carrier.</w:t>
      </w:r>
    </w:p>
    <w:p>
      <w:pPr>
        <w:pStyle w:val="ListParagraph"/>
        <w:numPr>
          <w:ilvl w:val="0"/>
          <w:numId w:val="1"/>
        </w:numPr>
        <w:spacing w:after="60"/>
      </w:pPr>
      <w:r>
        <w:t xml:space="preserve">Continuous enrollment requirement: ~12 months for most Star measures, with the standard allowable 45-day gap.</w:t>
      </w:r>
    </w:p>
    <w:p>
      <w:pPr>
        <w:pStyle w:val="Heading2"/>
        <w:spacing w:after="100" w:before="240"/>
      </w:pPr>
      <w:r>
        <w:t xml:space="preserve">Cigna Health  (PRIVATE)</w:t>
      </w:r>
    </w:p>
    <w:p>
      <w:pPr>
        <w:spacing w:after="100"/>
      </w:pPr>
      <w:r>
        <w:rPr>
          <w:b/>
          <w:bCs/>
          <w:sz w:val="20"/>
          <w:szCs w:val="20"/>
        </w:rPr>
        <w:t xml:space="preserve">Commercial / Medicare Advantage — wellness &amp; prevention focus</w:t>
      </w:r>
    </w:p>
    <w:p>
      <w:pPr>
        <w:spacing w:after="100"/>
      </w:pPr>
      <w:r>
        <w:t xml:space="preserve">Criteria emphasize routine preventive engagement: annual wellness visits and flu vaccination.</w:t>
      </w:r>
    </w:p>
    <w:p>
      <w:pPr>
        <w:spacing w:after="100"/>
      </w:pPr>
      <w:r>
        <w:rPr>
          <w:b/>
          <w:bCs/>
        </w:rPr>
        <w:t xml:space="preserve">Applicable Star/HEDIS measures:</w:t>
      </w:r>
    </w:p>
    <w:p>
      <w:pPr>
        <w:spacing w:after="100"/>
      </w:pPr>
      <w:r>
        <w:t xml:space="preserve">AWV (Annual Wellness Visit), FVA (Annual Flu Vaccine).</w:t>
      </w:r>
    </w:p>
    <w:p>
      <w:pPr>
        <w:spacing w:after="100"/>
      </w:pPr>
      <w:r>
        <w:rPr>
          <w:b/>
          <w:bCs/>
        </w:rPr>
        <w:t xml:space="preserve">Enrollment / Start Criteria:</w:t>
      </w:r>
    </w:p>
    <w:p>
      <w:pPr>
        <w:pStyle w:val="ListParagraph"/>
        <w:numPr>
          <w:ilvl w:val="0"/>
          <w:numId w:val="1"/>
        </w:numPr>
        <w:spacing w:after="60"/>
      </w:pPr>
      <w:r>
        <w:t xml:space="preserve">Commercial group coverage: enrollment tied to employer plan year and qualifying life events under a defined open enrollment period.</w:t>
      </w:r>
    </w:p>
    <w:p>
      <w:pPr>
        <w:pStyle w:val="ListParagraph"/>
        <w:numPr>
          <w:ilvl w:val="0"/>
          <w:numId w:val="1"/>
        </w:numPr>
        <w:spacing w:after="60"/>
      </w:pPr>
      <w:r>
        <w:t xml:space="preserve">Individual/ACA marketplace coverage: Open Enrollment Period (Nov 1–Jan 15 in most states) or a Special Enrollment Period for qualifying events.</w:t>
      </w:r>
    </w:p>
    <w:p>
      <w:pPr>
        <w:pStyle w:val="ListParagraph"/>
        <w:numPr>
          <w:ilvl w:val="0"/>
          <w:numId w:val="1"/>
        </w:numPr>
        <w:spacing w:after="60"/>
      </w:pPr>
      <w:r>
        <w:t xml:space="preserve">Where Cigna operates a Medicare Advantage product: identical start criteria to the Medicare section.</w:t>
      </w:r>
    </w:p>
    <w:p>
      <w:pPr>
        <w:pStyle w:val="Heading2"/>
        <w:spacing w:after="100" w:before="240"/>
      </w:pPr>
      <w:r>
        <w:t xml:space="preserve">Anthem  (PRIVATE)</w:t>
      </w:r>
    </w:p>
    <w:p>
      <w:pPr>
        <w:spacing w:after="100"/>
      </w:pPr>
      <w:r>
        <w:rPr>
          <w:b/>
          <w:bCs/>
          <w:sz w:val="20"/>
          <w:szCs w:val="20"/>
        </w:rPr>
        <w:t xml:space="preserve">Commercial / Medicare Advantage (Elevance Health) — transitions-of-care focus</w:t>
      </w:r>
    </w:p>
    <w:p>
      <w:pPr>
        <w:spacing w:after="100"/>
      </w:pPr>
      <w:r>
        <w:t xml:space="preserve">Criteria emphasize post-encounter medication safety and blood pressure control, consistent with a readmission/transitions-of-care quality focus.</w:t>
      </w:r>
    </w:p>
    <w:p>
      <w:pPr>
        <w:spacing w:after="100"/>
      </w:pPr>
      <w:r>
        <w:rPr>
          <w:b/>
          <w:bCs/>
        </w:rPr>
        <w:t xml:space="preserve">Applicable Star/HEDIS measures:</w:t>
      </w:r>
    </w:p>
    <w:p>
      <w:pPr>
        <w:spacing w:after="100"/>
      </w:pPr>
      <w:r>
        <w:t xml:space="preserve">MRP (Medication Reconciliation Post-Encounter/Discharge), CBP (Controlling Blood Pressure).</w:t>
      </w:r>
    </w:p>
    <w:p>
      <w:pPr>
        <w:spacing w:after="100"/>
      </w:pPr>
      <w:r>
        <w:rPr>
          <w:b/>
          <w:bCs/>
        </w:rPr>
        <w:t xml:space="preserve">Enrollment / Start Criteria:</w:t>
      </w:r>
    </w:p>
    <w:p>
      <w:pPr>
        <w:pStyle w:val="ListParagraph"/>
        <w:numPr>
          <w:ilvl w:val="0"/>
          <w:numId w:val="1"/>
        </w:numPr>
        <w:spacing w:after="60"/>
      </w:pPr>
      <w:r>
        <w:t xml:space="preserve">Commercial group coverage: enrollment tied to employer plan year and qualifying life events under a defined open enrollment period.</w:t>
      </w:r>
    </w:p>
    <w:p>
      <w:pPr>
        <w:pStyle w:val="ListParagraph"/>
        <w:numPr>
          <w:ilvl w:val="0"/>
          <w:numId w:val="1"/>
        </w:numPr>
        <w:spacing w:after="60"/>
      </w:pPr>
      <w:r>
        <w:t xml:space="preserve">Individual/ACA marketplace coverage: Open Enrollment Period (Nov 1–Jan 15 in most states) or a Special Enrollment Period for qualifying events.</w:t>
      </w:r>
    </w:p>
    <w:p>
      <w:pPr>
        <w:pStyle w:val="ListParagraph"/>
        <w:numPr>
          <w:ilvl w:val="0"/>
          <w:numId w:val="1"/>
        </w:numPr>
        <w:spacing w:after="60"/>
      </w:pPr>
      <w:r>
        <w:t xml:space="preserve">Where Anthem operates a Medicare Advantage product: identical start criteria to the Medicare section.</w:t>
      </w:r>
    </w:p>
    <w:p>
      <w:pPr>
        <w:pStyle w:val="Heading2"/>
        <w:spacing w:after="100" w:before="240"/>
      </w:pPr>
      <w:r>
        <w:t xml:space="preserve">NO_INSURANCE  (NO_INSURANCE)</w:t>
      </w:r>
    </w:p>
    <w:p>
      <w:pPr>
        <w:spacing w:after="100"/>
      </w:pPr>
      <w:r>
        <w:rPr>
          <w:b/>
          <w:bCs/>
          <w:sz w:val="20"/>
          <w:szCs w:val="20"/>
        </w:rPr>
        <w:t xml:space="preserve">Not applicable — uninsured / self-pay</w:t>
      </w:r>
    </w:p>
    <w:p>
      <w:pPr>
        <w:spacing w:after="100"/>
      </w:pPr>
      <w:r>
        <w:t xml:space="preserve">No payer contract exists, so there is no plan to rate and no CMS Star measure applies. These patients are excluded from the quality-measure denominator entirely; they may still be tracked separately for uncompensated-care and outreach purposes (e.g., Medicaid/marketplace enrollment assistance).</w:t>
      </w:r>
    </w:p>
    <w:p>
      <w:pPr>
        <w:spacing w:after="100"/>
      </w:pPr>
      <w:r>
        <w:rPr>
          <w:b/>
          <w:bCs/>
        </w:rPr>
        <w:t xml:space="preserve">Applicable Star/HEDIS measures:</w:t>
      </w:r>
    </w:p>
    <w:p>
      <w:pPr>
        <w:spacing w:after="100"/>
      </w:pPr>
      <w:r>
        <w:t xml:space="preserve">None. Excluded from all Star/HEDIS measure denominators.</w:t>
      </w:r>
    </w:p>
    <w:p>
      <w:pPr>
        <w:spacing w:after="100"/>
      </w:pPr>
      <w:r>
        <w:rPr>
          <w:b/>
          <w:bCs/>
        </w:rPr>
        <w:t xml:space="preserve">Enrollment / Start Criteria:</w:t>
      </w:r>
    </w:p>
    <w:p>
      <w:pPr>
        <w:pStyle w:val="ListParagraph"/>
        <w:numPr>
          <w:ilvl w:val="0"/>
          <w:numId w:val="1"/>
        </w:numPr>
        <w:spacing w:after="60"/>
      </w:pPr>
      <w:r>
        <w:t xml:space="preserve">N/A — no enrollment event exists for this population.</w:t>
      </w:r>
    </w:p>
    <w:p>
      <w:pPr>
        <w:pStyle w:val="ListParagraph"/>
        <w:numPr>
          <w:ilvl w:val="0"/>
          <w:numId w:val="1"/>
        </w:numPr>
        <w:spacing w:after="60"/>
      </w:pPr>
      <w:r>
        <w:t xml:space="preserve">Recommended action: route to Medicaid eligibility screening or ACA marketplace navigator referral rather than Star measure tracking.</w:t>
      </w:r>
    </w:p>
    <w:p>
      <w:pPr>
        <w:pStyle w:val="Heading1"/>
        <w:spacing w:after="150" w:before="300"/>
      </w:pPr>
      <w:r>
        <w:t xml:space="preserve">4. How Gaps Are Computed in the Dataset</w:t>
      </w:r>
    </w:p>
    <w:p>
      <w:pPr>
        <w:spacing w:after="100"/>
      </w:pPr>
      <w:r>
        <w:t xml:space="preserve">For each patient, the CURRENT plan is the payer_transitions record with the latest START_DATE. Only the 2–3 criteria assigned to that patient's OWN plan (Section 3) are evaluated — each patient's row only reflects their plan's own measures, not every plan's full measure catalog.</w:t>
      </w:r>
    </w:p>
    <w:p>
      <w:pPr>
        <w:spacing w:after="100"/>
      </w:pPr>
      <w:r>
        <w:rPr>
          <w:b/>
          <w:bCs/>
        </w:rPr>
        <w:t xml:space="preserve">CSV column structure (fixed columns, variable content per row):</w:t>
      </w:r>
    </w:p>
    <w:p>
      <w:pPr>
        <w:pStyle w:val="ListParagraph"/>
        <w:numPr>
          <w:ilvl w:val="0"/>
          <w:numId w:val="1"/>
        </w:numPr>
        <w:spacing w:after="60"/>
      </w:pPr>
      <w:r>
        <w:t xml:space="preserve">CRITERIA_1_CODE / CRITERIA_1_NAME / CRITERIA_1_RESULT, repeated for CRITERIA_2 and CRITERIA_3 (blank if the plan has fewer than 3 assigned criteria).</w:t>
      </w:r>
    </w:p>
    <w:p>
      <w:pPr>
        <w:pStyle w:val="ListParagraph"/>
        <w:numPr>
          <w:ilvl w:val="0"/>
          <w:numId w:val="1"/>
        </w:numPr>
        <w:spacing w:after="60"/>
      </w:pPr>
      <w:r>
        <w:t xml:space="preserve">RESULT = "MET" — patient is in the measure's denominator (has the qualifying disease/age/gender profile) and satisfies the numerator within the required lookback window (gap closed).</w:t>
      </w:r>
    </w:p>
    <w:p>
      <w:pPr>
        <w:pStyle w:val="ListParagraph"/>
        <w:numPr>
          <w:ilvl w:val="0"/>
          <w:numId w:val="1"/>
        </w:numPr>
        <w:spacing w:after="60"/>
      </w:pPr>
      <w:r>
        <w:t xml:space="preserve">RESULT = "GAP" — patient is in the denominator but does not satisfy the numerator within the lookback window (real care gap, e.g. no flu shot recorded in the last 12 months).</w:t>
      </w:r>
    </w:p>
    <w:p>
      <w:pPr>
        <w:pStyle w:val="ListParagraph"/>
        <w:numPr>
          <w:ilvl w:val="0"/>
          <w:numId w:val="1"/>
        </w:numPr>
        <w:spacing w:after="60"/>
      </w:pPr>
      <w:r>
        <w:t xml:space="preserve">RESULT = "N/A" — patient does not meet the denominator criteria for that measure at all (e.g. non-diabetic for a diabetes-only measure) — the criteria simply doesn't apply to them, this is not a gap.</w:t>
      </w:r>
    </w:p>
    <w:p>
      <w:pPr>
        <w:pStyle w:val="ListParagraph"/>
        <w:numPr>
          <w:ilvl w:val="0"/>
          <w:numId w:val="1"/>
        </w:numPr>
        <w:spacing w:after="60"/>
      </w:pPr>
      <w:r>
        <w:t xml:space="preserve">STAR_MEASURES_APPLICABLE / STAR_MEASURES_GAPS = counts across only that patient's own applicable (non-N/A) criteria.</w:t>
      </w:r>
    </w:p>
    <w:p>
      <w:pPr>
        <w:pStyle w:val="ListParagraph"/>
        <w:numPr>
          <w:ilvl w:val="0"/>
          <w:numId w:val="1"/>
        </w:numPr>
        <w:spacing w:after="60"/>
      </w:pPr>
      <w:r>
        <w:t xml:space="preserve">HAS_CARE_GAP = "Y" if STAR_MEASURES_GAPS &gt; 0.</w:t>
      </w:r>
    </w:p>
    <w:p>
      <w:pPr>
        <w:pStyle w:val="ListParagraph"/>
        <w:numPr>
          <w:ilvl w:val="0"/>
          <w:numId w:val="1"/>
        </w:numPr>
        <w:spacing w:after="60"/>
      </w:pPr>
      <w:r>
        <w:t xml:space="preserve">PRIORITY = 0 for all patients by default; intended to be populated by a separate prioritization model that ranks patients by expected Star-percentage impact of closing their gap(s).</w:t>
      </w:r>
    </w:p>
    <w:p>
      <w:pPr>
        <w:spacing w:after="100"/>
      </w:pPr>
      <w:r>
        <w:rPr>
          <w:b/>
          <w:bCs/>
        </w:rPr>
        <w:t xml:space="preserve">Example — Flu Vaccine (FVA) criteria logic, as requested:</w:t>
      </w:r>
    </w:p>
    <w:p>
      <w:pPr>
        <w:pStyle w:val="ListParagraph"/>
        <w:numPr>
          <w:ilvl w:val="0"/>
          <w:numId w:val="1"/>
        </w:numPr>
        <w:spacing w:after="60"/>
      </w:pPr>
      <w:r>
        <w:t xml:space="preserve">Denominator: adult members (age 18+) on a plan where FVA is an assigned criterion (Medicare, Blue Cross Blue Shield, UnitedHealthcare, Cigna Health).</w:t>
      </w:r>
    </w:p>
    <w:p>
      <w:pPr>
        <w:pStyle w:val="ListParagraph"/>
        <w:numPr>
          <w:ilvl w:val="0"/>
          <w:numId w:val="1"/>
        </w:numPr>
        <w:spacing w:after="60"/>
      </w:pPr>
      <w:r>
        <w:t xml:space="preserve">Numerator / MET: an influenza immunization record exists dated within the last 365 days.</w:t>
      </w:r>
    </w:p>
    <w:p>
      <w:pPr>
        <w:pStyle w:val="ListParagraph"/>
        <w:numPr>
          <w:ilvl w:val="0"/>
          <w:numId w:val="1"/>
        </w:numPr>
        <w:spacing w:after="60"/>
      </w:pPr>
      <w:r>
        <w:t xml:space="preserve">GAP: member is 18+ and on an FVA-scored plan, but has no influenza immunization recorded in the last 365 days.</w:t>
      </w:r>
    </w:p>
    <w:p>
      <w:pPr>
        <w:pStyle w:val="ListParagraph"/>
        <w:numPr>
          <w:ilvl w:val="0"/>
          <w:numId w:val="1"/>
        </w:numPr>
        <w:spacing w:after="60"/>
      </w:pPr>
      <w:r>
        <w:t xml:space="preserve">N/A: member is on a plan where FVA is not an assigned criterion (e.g. Aetna, Anthem, Medicaid, Dual Eligible, Humana) — not scored for that plan by design, matching each plan's own criteria set.</w:t>
      </w:r>
    </w:p>
    <w:p>
      <w:pPr>
        <w:pStyle w:val="Heading1"/>
        <w:spacing w:after="150" w:before="300"/>
      </w:pPr>
      <w:r>
        <w:t xml:space="preserve">5. Suggested Next Steps for Priority Logic</w:t>
      </w:r>
    </w:p>
    <w:p>
      <w:pPr>
        <w:pStyle w:val="ListParagraph"/>
        <w:numPr>
          <w:ilvl w:val="0"/>
          <w:numId w:val="1"/>
        </w:numPr>
        <w:spacing w:after="60"/>
      </w:pPr>
      <w:r>
        <w:t xml:space="preserve">Weight each patient's open gaps by the plan's current measure-level compliance rate — gaps in low-performing measures for a plan close to a star-rating cutoff have outsized impact.</w:t>
      </w:r>
    </w:p>
    <w:p>
      <w:pPr>
        <w:pStyle w:val="ListParagraph"/>
        <w:numPr>
          <w:ilvl w:val="0"/>
          <w:numId w:val="1"/>
        </w:numPr>
        <w:spacing w:after="60"/>
      </w:pPr>
      <w:r>
        <w:t xml:space="preserve">Consider member-months remaining in the measurement year (time available to close the gap).</w:t>
      </w:r>
    </w:p>
    <w:p>
      <w:pPr>
        <w:pStyle w:val="ListParagraph"/>
        <w:numPr>
          <w:ilvl w:val="0"/>
          <w:numId w:val="1"/>
        </w:numPr>
        <w:spacing w:after="60"/>
      </w:pPr>
      <w:r>
        <w:t xml:space="preserve">Consider ease-of-closure per measure (e.g., FVA/flu shot is typically easier to close than EED/eye exam, which requires a specialist referral).</w:t>
      </w:r>
    </w:p>
    <w:p>
      <w:pPr>
        <w:pStyle w:val="ListParagraph"/>
        <w:numPr>
          <w:ilvl w:val="0"/>
          <w:numId w:val="1"/>
        </w:numPr>
        <w:spacing w:after="60"/>
      </w:pPr>
      <w:r>
        <w:t xml:space="preserve">Exclude DECEASED='Y' patients from any outreach-based prioritization.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2026-08-19T06:25:38.749Z</dcterms:created>
  <dcterms:modified xsi:type="dcterms:W3CDTF">2026-08-19T06:25:38.759Z</dcterms:modified>
</cp:coreProperties>
</file>

<file path=docProps/custom.xml><?xml version="1.0" encoding="utf-8"?>
<Properties xmlns="http://schemas.openxmlformats.org/officeDocument/2006/custom-properties" xmlns:vt="http://schemas.openxmlformats.org/officeDocument/2006/docPropsVTypes"/>
</file>