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1.** All cases are HMPV-positive with HMPV CT ≤ 30; this restriction is applied identically across every column and every design (A/B/C).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77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1,956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266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 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(9, 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 (22.1, 27.3)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711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co-detection partner CT &gt;30, missing, or inconclusive. Case dropped entirely (N=266). (All cases are already restricted to HMPV CT ≤30; see table caption.)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2026-07-06T10:04:32Z</dcterms:modified>
  <cp:category/>
</cp:coreProperties>
</file>