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07"/>
        <w:gridCol w:w="2025"/>
        <w:gridCol w:w="2025"/>
        <w:gridCol w:w="2025"/>
        <w:gridCol w:w="1181"/>
      </w:tblGrid>
      <w:tr>
        <w:trPr>
          <w:trHeight w:val="806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2,621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Included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1,556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Excluded (CT)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1,065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Age, months 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(10, 56)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(10, 53)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(11, 61)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HMPV CT value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28.3 (24.0, 32.8)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24.9 (22.1, 27.4)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33.8 (31.6, 36.3)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1,339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803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536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1,226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710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Race/ethnicity 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800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293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263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994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410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NH 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AI/AN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Multiple/Other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Insurance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969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Private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None/Self-Pay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Premature birth (&lt;37 weeks)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7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Any underlying condition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Hospitalized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1,189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700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489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7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Co-detected pathogen (lab)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hmpv-only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 (77%)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1,264 (81%)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750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rsv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adenovirus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influenza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rhino_ent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280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hcov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sarscov2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Vanderbilt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328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Rochester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Houston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562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Pittsburgh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612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Study year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2017-18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236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2024-25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346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276 (11%)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 (12%)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(8.9%)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"Excluded (CT)": HMPV CT &gt;30 or missing, OR partner CT missing or inconclusive — cases dropped entirely (N=1065). Partner CT &gt;30 results in reclassification to HMPV monoinfection (retained in analysis); reclassified cases are not excluded.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rank-sum for continuous variables; Fisher's exact test for dichotomous and small-cell categorical variables; chi-square for site, insurance type, study year, and co-detected pathogen.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2026-07-02T11:08:37Z</dcterms:modified>
  <cp:category/>
</cp:coreProperties>
</file>