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07"/>
        <w:gridCol w:w="2025"/>
        <w:gridCol w:w="2025"/>
        <w:gridCol w:w="2025"/>
        <w:gridCol w:w="1181"/>
      </w:tblGrid>
      <w:tr>
        <w:trPr>
          <w:trHeight w:val="77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2,222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Included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2,193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Excluded (CT)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Age, months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(9, 48)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(9, 48)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(9, 39)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HMPV CT value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25.3 (22.7, 27.6)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25.3 (22.7, 27.6)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23.9 (22.8, 26.9)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7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1,162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1,145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997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738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477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794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783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NH 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AI/AN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Multiple/Other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Insurance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1,437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1,416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Private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579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None/Self-Pay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Premature birth (&lt;37 weeks)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471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57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Any underlying condition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Hospitalized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1,010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7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Co-detected pathogen (lab)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hmpv-only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1,794 (81%)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1,794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rsv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adenovirus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influenza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rhino_ent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hcov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sarscov2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Vanderbilt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Rochester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281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Houston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719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Pittsburgh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839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Study 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2017-18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2024-25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346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221 (9.9%)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221 (10%)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"Excluded (CT)": HMPV CT &gt;30 or missing, OR partner CT missing or inconclusive — cases dropped entirely (N=29). Partner CT &gt;30 results in reclassification to HMPV monoinfection (retained in analysis); reclassified cases are not excluded.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rank-sum for continuous variables; Fisher's exact test for dichotomous and small-cell categorical variables; chi-square for site.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2026-07-06T09:48:29Z</dcterms:modified>
  <cp:category/>
</cp:coreProperties>
</file>