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2025"/>
        <w:gridCol w:w="2025"/>
        <w:gridCol w:w="2025"/>
        <w:gridCol w:w="1181"/>
      </w:tblGrid>
      <w:tr>
        <w:trPr>
          <w:trHeight w:val="77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2,222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Included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1,956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Excluded (CT)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266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Age, months 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(9, 48)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(9, 50)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(9, 36)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 CT value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(22.7, 27.6)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 (22.1, 27.3)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1,162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997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738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794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NH 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AI/AN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Multiple/Other NH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Insurance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1,437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1,264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510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None/Self-Pay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Premature birth (&lt;37 weeks)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478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427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Any underlying condition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711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Hospitalized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 (lab)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(81%)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Vanderbilt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Rochester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245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Pittsburgh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 (9.9%)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(10%)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"Excluded (CT)": HMPV CT &gt;30 or missing; or co-detection partner CT &gt;30, missing, or inconclusive. Case dropped entirely (N=266).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rank-sum for continuous variables; Fisher's exact test for dichotomous and small-cell categorical variables; chi-square for site.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2026-07-06T09:50:53Z</dcterms:modified>
  <cp:category/>
</cp:coreProperties>
</file>