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8"/>
        <w:gridCol w:w="961"/>
        <w:gridCol w:w="1670"/>
        <w:gridCol w:w="1389"/>
        <w:gridCol w:w="1181"/>
        <w:gridCol w:w="961"/>
        <w:gridCol w:w="1670"/>
        <w:gridCol w:w="1389"/>
        <w:gridCol w:w="1181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A: Unrestricted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B: Restricted (CT ≤30)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Co-detected pathogen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hmpv-only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adenovirus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0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rhino_ent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0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hcov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0" w:hRule="auto"/>
        </w:trPr>
        body9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sarscov2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0.26, 1.68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Proportional odds (ordinal logistic) regression; m=5 multiple imputation, pooled via Rubin's rules. Reference: HMPV monoinfection. Adjusted for age (months), preterm birth, any underlying condition, and enrollment site. OR &gt;1 indicates higher odds of more severe illness.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2026-07-06T09:51:03Z</dcterms:modified>
  <cp:category/>
</cp:coreProperties>
</file>