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1.** All cases are HMPV-positive with HMPV CT ≤ 30; this restriction is applied identically across every column and every design (A/B/C).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07"/>
        <w:gridCol w:w="2025"/>
        <w:gridCol w:w="2025"/>
        <w:gridCol w:w="2025"/>
        <w:gridCol w:w="1181"/>
      </w:tblGrid>
      <w:tr>
        <w:trPr>
          <w:trHeight w:val="77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2,222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Included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1,962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Excluded (CT)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260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Age, months 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(9, 48)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(9, 50)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(9, 36)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HMPV CT value 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25.3 (22.7, 27.6)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25.3 (22.7, 27.6)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24.8 (22.1, 27.2)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1,162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998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876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738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477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794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NH 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AI/AN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Multiple/Other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Insurance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1,437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1,269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Private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None/Self-Pay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Premature birth (&lt;37 weeks)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427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71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Any underlying condition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Hospitalized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900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71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Co-detected pathogen (lab)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hmpv-only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1,794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1,794 (91%)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rsv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adenovirus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influenza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rhino_ent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hcov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sarscov2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 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Vanderbilt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Rochester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668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Pittsburgh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Study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2017-18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233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2024-25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221 (9.9%)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 (10%)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(8.5%)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"Excluded (CT)": co-detection partner CT &gt;30, missing, or inconclusive. Case dropped entirely (N=260). (All cases are already restricted to HMPV CT ≤30; see table caption.)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rank-sum for continuous variables; Fisher's exact test for dichotomous and small-cell categorical variables; chi-square for site.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2026-07-06T10:51:18Z</dcterms:modified>
  <cp:category/>
</cp:coreProperties>
</file>