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B2C46" w14:textId="77777777" w:rsidR="00C14223" w:rsidRDefault="00C14223">
      <w:pPr>
        <w:rPr>
          <w:lang w:val="en-US"/>
        </w:rPr>
      </w:pPr>
      <w:r w:rsidRPr="00C14223">
        <w:rPr>
          <w:color w:val="FF0000"/>
          <w:lang w:val="en-US"/>
        </w:rPr>
        <w:t xml:space="preserve">Sample </w:t>
      </w:r>
      <w:r>
        <w:rPr>
          <w:color w:val="FF0000"/>
          <w:lang w:val="en-US"/>
        </w:rPr>
        <w:t>cytotoxicity values</w:t>
      </w:r>
      <w:r w:rsidRPr="00C14223">
        <w:rPr>
          <w:color w:val="FF0000"/>
          <w:lang w:val="en-US"/>
        </w:rPr>
        <w:t xml:space="preserve"> </w:t>
      </w:r>
      <w:r w:rsidRPr="00C14223">
        <w:rPr>
          <w:lang w:val="en-US"/>
        </w:rPr>
        <w:t>were calcula</w:t>
      </w:r>
      <w:r>
        <w:rPr>
          <w:lang w:val="en-US"/>
        </w:rPr>
        <w:t>ted for each sample at each time point using the following formula:</w:t>
      </w:r>
    </w:p>
    <w:p w14:paraId="477B8650" w14:textId="5562CFF9" w:rsidR="004461CC" w:rsidRDefault="00C14223">
      <w:pPr>
        <w:rPr>
          <w:lang w:val="en-US"/>
        </w:rPr>
      </w:pPr>
      <w:r>
        <w:rPr>
          <w:lang w:val="en-US"/>
        </w:rPr>
        <w:t>(Abs490-Abs680)-LDH/(Max LDH-LDH)</w:t>
      </w:r>
    </w:p>
    <w:p w14:paraId="6721F9DB" w14:textId="77777777" w:rsidR="00C81D57" w:rsidRDefault="00C14223">
      <w:pPr>
        <w:rPr>
          <w:lang w:val="en-US"/>
        </w:rPr>
      </w:pPr>
      <w:r>
        <w:rPr>
          <w:lang w:val="en-US"/>
        </w:rPr>
        <w:t xml:space="preserve">A </w:t>
      </w:r>
      <w:r w:rsidR="00C81D57">
        <w:rPr>
          <w:lang w:val="en-US"/>
        </w:rPr>
        <w:t>scatter/</w:t>
      </w:r>
      <w:r>
        <w:rPr>
          <w:lang w:val="en-US"/>
        </w:rPr>
        <w:t xml:space="preserve">line plot was </w:t>
      </w:r>
      <w:r w:rsidR="00C81D57">
        <w:rPr>
          <w:lang w:val="en-US"/>
        </w:rPr>
        <w:t xml:space="preserve">constructed of the cytotoxicity values which allowed the identification of an anomalous datapoint in one sample, so that datapoint was imputed based on the mean of the five corresponding values for that treatment and time point. </w:t>
      </w:r>
    </w:p>
    <w:p w14:paraId="6F97F0DF" w14:textId="09E8DB92" w:rsidR="004E2AA2" w:rsidRDefault="00C81D57">
      <w:pPr>
        <w:rPr>
          <w:lang w:val="en-US"/>
        </w:rPr>
      </w:pPr>
      <w:r>
        <w:rPr>
          <w:lang w:val="en-US"/>
        </w:rPr>
        <w:t>At each time point, ANOVA was performed to determine whether differences exist between the cytotoxicity levels of different treatments, and in all cases these differences were significant. Furthermore, Tukey’s HSD test was performed between all samples</w:t>
      </w:r>
      <w:r w:rsidR="004E2AA2">
        <w:rPr>
          <w:lang w:val="en-US"/>
        </w:rPr>
        <w:t>. An additional “Null” group was added to the Tukey’s analysis to determine if the values significantly differ from zero. All groups were significantly different with the following exceptions:</w:t>
      </w:r>
    </w:p>
    <w:p w14:paraId="4CA802CC" w14:textId="5C86D498" w:rsidR="004E2AA2" w:rsidRDefault="004E2AA2">
      <w:pPr>
        <w:rPr>
          <w:lang w:val="en-US"/>
        </w:rPr>
      </w:pPr>
      <w:r>
        <w:rPr>
          <w:lang w:val="en-US"/>
        </w:rPr>
        <w:t>ATP vs. Null : Timepoints 2,4,12</w:t>
      </w:r>
    </w:p>
    <w:p w14:paraId="1D977E81" w14:textId="5374AC26" w:rsidR="004E2AA2" w:rsidRDefault="004E2AA2">
      <w:pPr>
        <w:rPr>
          <w:lang w:val="en-US"/>
        </w:rPr>
      </w:pPr>
      <w:r>
        <w:rPr>
          <w:lang w:val="en-US"/>
        </w:rPr>
        <w:t>MSU vs. Nigericin: Timepoint 21</w:t>
      </w:r>
    </w:p>
    <w:p w14:paraId="3648F18C" w14:textId="1C44D6FB" w:rsidR="005C6BBE" w:rsidRDefault="005C6BBE">
      <w:pPr>
        <w:rPr>
          <w:lang w:val="en-US"/>
        </w:rPr>
      </w:pPr>
      <w:r>
        <w:rPr>
          <w:lang w:val="en-US"/>
        </w:rPr>
        <w:br w:type="page"/>
      </w:r>
    </w:p>
    <w:p w14:paraId="40A68988" w14:textId="44F4C444" w:rsidR="00C81D57" w:rsidRDefault="00C81D57">
      <w:pPr>
        <w:rPr>
          <w:lang w:val="en-US"/>
        </w:rPr>
      </w:pPr>
      <w:r>
        <w:rPr>
          <w:lang w:val="en-US"/>
        </w:rPr>
        <w:lastRenderedPageBreak/>
        <w:t>FIGURES</w:t>
      </w:r>
    </w:p>
    <w:p w14:paraId="073B91C3" w14:textId="77777777" w:rsidR="001C716E" w:rsidRDefault="00C81D57">
      <w:pPr>
        <w:rPr>
          <w:lang w:val="en-US"/>
        </w:rPr>
      </w:pPr>
      <w:r>
        <w:rPr>
          <w:lang w:val="en-US"/>
        </w:rPr>
        <w:t>Before:</w:t>
      </w:r>
    </w:p>
    <w:p w14:paraId="6089CA74" w14:textId="46495B2C" w:rsidR="00C81D57" w:rsidRDefault="001C716E">
      <w:pPr>
        <w:rPr>
          <w:lang w:val="en-US"/>
        </w:rPr>
      </w:pPr>
      <w:r w:rsidRPr="001C716E">
        <w:rPr>
          <w:noProof/>
          <w:lang w:val="en-US"/>
        </w:rPr>
        <w:t xml:space="preserve"> </w:t>
      </w:r>
      <w:r>
        <w:rPr>
          <w:noProof/>
          <w:lang w:val="en-US"/>
        </w:rPr>
        <w:drawing>
          <wp:inline distT="0" distB="0" distL="0" distR="0" wp14:anchorId="2C5D9245" wp14:editId="13213F95">
            <wp:extent cx="3888184" cy="3048000"/>
            <wp:effectExtent l="0" t="0" r="0" b="0"/>
            <wp:docPr id="5648887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889290" cy="3048867"/>
                    </a:xfrm>
                    <a:prstGeom prst="rect">
                      <a:avLst/>
                    </a:prstGeom>
                    <a:noFill/>
                    <a:ln>
                      <a:noFill/>
                    </a:ln>
                  </pic:spPr>
                </pic:pic>
              </a:graphicData>
            </a:graphic>
          </wp:inline>
        </w:drawing>
      </w:r>
    </w:p>
    <w:p w14:paraId="2BEE649D" w14:textId="5B5B79FF" w:rsidR="00C81D57" w:rsidRDefault="00C81D57">
      <w:pPr>
        <w:rPr>
          <w:lang w:val="en-US"/>
        </w:rPr>
      </w:pPr>
    </w:p>
    <w:p w14:paraId="6F337009" w14:textId="4D323796" w:rsidR="00C81D57" w:rsidRDefault="00C81D57">
      <w:pPr>
        <w:rPr>
          <w:lang w:val="en-US"/>
        </w:rPr>
      </w:pPr>
      <w:r>
        <w:rPr>
          <w:lang w:val="en-US"/>
        </w:rPr>
        <w:t>After:</w:t>
      </w:r>
      <w:r w:rsidR="001C716E" w:rsidRPr="001C716E">
        <w:rPr>
          <w:noProof/>
          <w:lang w:val="en-US"/>
        </w:rPr>
        <w:t xml:space="preserve"> </w:t>
      </w:r>
    </w:p>
    <w:p w14:paraId="597B534C" w14:textId="13539319" w:rsidR="00C81D57" w:rsidRDefault="00C81D57">
      <w:pPr>
        <w:rPr>
          <w:lang w:val="en-US"/>
        </w:rPr>
      </w:pPr>
      <w:r>
        <w:rPr>
          <w:lang w:val="en-US"/>
        </w:rPr>
        <w:t xml:space="preserve"> </w:t>
      </w:r>
      <w:r w:rsidR="001C716E">
        <w:rPr>
          <w:noProof/>
          <w:lang w:val="en-US"/>
        </w:rPr>
        <w:drawing>
          <wp:inline distT="0" distB="0" distL="0" distR="0" wp14:anchorId="708FDC79" wp14:editId="56BA50EB">
            <wp:extent cx="3904384" cy="3060700"/>
            <wp:effectExtent l="0" t="0" r="1270" b="6350"/>
            <wp:docPr id="12489077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22898" cy="3075213"/>
                    </a:xfrm>
                    <a:prstGeom prst="rect">
                      <a:avLst/>
                    </a:prstGeom>
                    <a:noFill/>
                    <a:ln>
                      <a:noFill/>
                    </a:ln>
                  </pic:spPr>
                </pic:pic>
              </a:graphicData>
            </a:graphic>
          </wp:inline>
        </w:drawing>
      </w:r>
    </w:p>
    <w:p w14:paraId="00745ECA" w14:textId="77777777" w:rsidR="00C81D57" w:rsidRDefault="00C81D57">
      <w:pPr>
        <w:rPr>
          <w:lang w:val="en-US"/>
        </w:rPr>
      </w:pPr>
      <w:r>
        <w:rPr>
          <w:lang w:val="en-US"/>
        </w:rPr>
        <w:t xml:space="preserve"> </w:t>
      </w:r>
    </w:p>
    <w:p w14:paraId="4171CEB1" w14:textId="77777777" w:rsidR="00C81D57" w:rsidRDefault="00C81D57">
      <w:pPr>
        <w:rPr>
          <w:lang w:val="en-US"/>
        </w:rPr>
      </w:pPr>
    </w:p>
    <w:p w14:paraId="471E0110" w14:textId="3B268888" w:rsidR="00C81D57" w:rsidRPr="00C81D57" w:rsidRDefault="00C81D57">
      <w:pPr>
        <w:rPr>
          <w:lang w:val="en-US"/>
        </w:rPr>
      </w:pPr>
      <w:r>
        <w:rPr>
          <w:lang w:val="en-US"/>
        </w:rPr>
        <w:lastRenderedPageBreak/>
        <w:t>Bar chart showing percentage cytotoxicity between treatment groups. Error bars depict standard error.</w:t>
      </w:r>
      <w:r>
        <w:rPr>
          <w:noProof/>
          <w:lang w:val="en-US"/>
        </w:rPr>
        <w:drawing>
          <wp:inline distT="0" distB="0" distL="0" distR="0" wp14:anchorId="234FB769" wp14:editId="6C94FFEE">
            <wp:extent cx="5420402" cy="4032250"/>
            <wp:effectExtent l="0" t="0" r="8890" b="6350"/>
            <wp:docPr id="17906952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30611" cy="4039845"/>
                    </a:xfrm>
                    <a:prstGeom prst="rect">
                      <a:avLst/>
                    </a:prstGeom>
                    <a:noFill/>
                    <a:ln>
                      <a:noFill/>
                    </a:ln>
                  </pic:spPr>
                </pic:pic>
              </a:graphicData>
            </a:graphic>
          </wp:inline>
        </w:drawing>
      </w:r>
    </w:p>
    <w:sectPr w:rsidR="00C81D57" w:rsidRPr="00C81D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223"/>
    <w:rsid w:val="00125958"/>
    <w:rsid w:val="001C716E"/>
    <w:rsid w:val="001E36BD"/>
    <w:rsid w:val="004461CC"/>
    <w:rsid w:val="004E2AA2"/>
    <w:rsid w:val="005C6BBE"/>
    <w:rsid w:val="00720019"/>
    <w:rsid w:val="008641D4"/>
    <w:rsid w:val="00C14223"/>
    <w:rsid w:val="00C81D57"/>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AB36C"/>
  <w15:chartTrackingRefBased/>
  <w15:docId w15:val="{ED8DA56C-C9D1-4EB5-965F-565B80992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Potter</dc:creator>
  <cp:keywords/>
  <dc:description/>
  <cp:lastModifiedBy>Ryan Potter</cp:lastModifiedBy>
  <cp:revision>3</cp:revision>
  <dcterms:created xsi:type="dcterms:W3CDTF">2023-09-01T10:07:00Z</dcterms:created>
  <dcterms:modified xsi:type="dcterms:W3CDTF">2023-09-01T10:37:00Z</dcterms:modified>
</cp:coreProperties>
</file>