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IRB Data Request Log</w:t>
      </w:r>
    </w:p>
    <w:p>
      <w:r>
        <w:t>Project Status: Active, in progress</w:t>
      </w:r>
    </w:p>
    <w:p>
      <w:r>
        <w:t>Unit: Research and Compliance</w:t>
      </w:r>
    </w:p>
    <w:p>
      <w:r>
        <w:t>Report refreshed: 2026-07-29</w:t>
      </w:r>
    </w:p>
    <w:p>
      <w:pPr>
        <w:pStyle w:val="Heading1"/>
      </w:pPr>
      <w:r>
        <w:t>Overview</w:t>
      </w:r>
    </w:p>
    <w:p>
      <w:r>
        <w:t>A single log of every data request that comes through the institutional review board, with what was asked for, what was released, and under which approval. Replaces an email thread and a shared inbox.</w:t>
      </w:r>
    </w:p>
    <w:p>
      <w:pPr>
        <w:pStyle w:val="Heading1"/>
      </w:pPr>
      <w:r>
        <w:t>Project Driving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Question</w:t>
            </w:r>
          </w:p>
        </w:tc>
      </w:tr>
      <w:tr>
        <w:tc>
          <w:tcPr>
            <w:tcW w:type="dxa" w:w="8640"/>
          </w:tcPr>
          <w:p>
            <w:r>
              <w:t>What is the current turnaround time from request to data release?</w:t>
            </w:r>
          </w:p>
        </w:tc>
      </w:tr>
      <w:tr>
        <w:tc>
          <w:tcPr>
            <w:tcW w:type="dxa" w:w="8640"/>
          </w:tcPr>
          <w:p>
            <w:r>
              <w:t>Which requests are waiting on us and which are waiting on the requester?</w:t>
            </w:r>
          </w:p>
        </w:tc>
      </w:tr>
      <w:tr>
        <w:tc>
          <w:tcPr>
            <w:tcW w:type="dxa" w:w="8640"/>
          </w:tcPr>
          <w:p>
            <w:r>
              <w:t>What data elements get requested most often, and should they be a standing extract?</w:t>
            </w:r>
          </w:p>
        </w:tc>
      </w:tr>
    </w:tbl>
    <w:p/>
    <w:p>
      <w:pPr>
        <w:pStyle w:val="Heading1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Elaine Cordova</w:t>
            </w:r>
          </w:p>
        </w:tc>
        <w:tc>
          <w:tcPr>
            <w:tcW w:type="dxa" w:w="4320"/>
          </w:tcPr>
          <w:p>
            <w:r>
              <w:t>Project lead</w:t>
            </w:r>
          </w:p>
        </w:tc>
      </w:tr>
      <w:tr>
        <w:tc>
          <w:tcPr>
            <w:tcW w:type="dxa" w:w="4320"/>
          </w:tcPr>
          <w:p>
            <w:r>
              <w:t>Nathan Iwu</w:t>
            </w:r>
          </w:p>
        </w:tc>
        <w:tc>
          <w:tcPr>
            <w:tcW w:type="dxa" w:w="4320"/>
          </w:tcPr>
          <w:p>
            <w:r>
              <w:t>Compliance analyst</w:t>
            </w:r>
          </w:p>
        </w:tc>
      </w:tr>
      <w:tr>
        <w:tc>
          <w:tcPr>
            <w:tcW w:type="dxa" w:w="4320"/>
          </w:tcPr>
          <w:p>
            <w:r>
              <w:t>Bethany Kroll</w:t>
            </w:r>
          </w:p>
        </w:tc>
        <w:tc>
          <w:tcPr>
            <w:tcW w:type="dxa" w:w="4320"/>
          </w:tcPr>
          <w:p>
            <w:r>
              <w:t>IRB coordinator</w:t>
            </w:r>
          </w:p>
        </w:tc>
      </w:tr>
    </w:tbl>
    <w:p/>
    <w:p>
      <w:pPr>
        <w:pStyle w:val="Heading1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Historical requests backfilled from email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Intake form live</w:t>
            </w:r>
          </w:p>
        </w:tc>
        <w:tc>
          <w:tcPr>
            <w:tcW w:type="dxa" w:w="2880"/>
          </w:tcPr>
          <w:p>
            <w:r>
              <w:t>2026-06-27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Turnaround reporting in place</w:t>
            </w:r>
          </w:p>
        </w:tc>
        <w:tc>
          <w:tcPr>
            <w:tcW w:type="dxa" w:w="2880"/>
          </w:tcPr>
          <w:p>
            <w:r>
              <w:t>2026-08-07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Standing extract catalog published</w:t>
            </w:r>
          </w:p>
        </w:tc>
        <w:tc>
          <w:tcPr>
            <w:tcW w:type="dxa" w:w="2880"/>
          </w:tcPr>
          <w:p>
            <w:r>
              <w:t>2026-09-11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Backfill the last two years of requests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Design and publish the intake form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Define the turnaround clock and when it pauses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Build the turnaround report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Identify the most requested elements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Draft the standing extract catalog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Update</w:t>
            </w:r>
          </w:p>
        </w:tc>
      </w:tr>
      <w:tr>
        <w:tc>
          <w:tcPr>
            <w:tcW w:type="dxa" w:w="4320"/>
          </w:tcPr>
          <w:p>
            <w:r>
              <w:t>2026-06-11</w:t>
            </w:r>
          </w:p>
        </w:tc>
        <w:tc>
          <w:tcPr>
            <w:tcW w:type="dxa" w:w="4320"/>
          </w:tcPr>
          <w:p>
            <w:r>
              <w:t>Backfill finished, 214 historical requests logged.</w:t>
            </w:r>
          </w:p>
        </w:tc>
      </w:tr>
      <w:tr>
        <w:tc>
          <w:tcPr>
            <w:tcW w:type="dxa" w:w="4320"/>
          </w:tcPr>
          <w:p>
            <w:r>
              <w:t>2026-06-27</w:t>
            </w:r>
          </w:p>
        </w:tc>
        <w:tc>
          <w:tcPr>
            <w:tcW w:type="dxa" w:w="4320"/>
          </w:tcPr>
          <w:p>
            <w:r>
              <w:t>Intake form went live, first four requests came through it the same week.</w:t>
            </w:r>
          </w:p>
        </w:tc>
      </w:tr>
      <w:tr>
        <w:tc>
          <w:tcPr>
            <w:tcW w:type="dxa" w:w="4320"/>
          </w:tcPr>
          <w:p>
            <w:r>
              <w:t>2026-07-15</w:t>
            </w:r>
          </w:p>
        </w:tc>
        <w:tc>
          <w:tcPr>
            <w:tcW w:type="dxa" w:w="4320"/>
          </w:tcPr>
          <w:p>
            <w:r>
              <w:t>Agreed the turnaround clock pauses while a request sits with the requester.</w:t>
            </w:r>
          </w:p>
        </w:tc>
      </w:tr>
      <w:tr>
        <w:tc>
          <w:tcPr>
            <w:tcW w:type="dxa" w:w="4320"/>
          </w:tcPr>
          <w:p>
            <w:r>
              <w:t>2026-07-23</w:t>
            </w:r>
          </w:p>
        </w:tc>
        <w:tc>
          <w:tcPr>
            <w:tcW w:type="dxa" w:w="4320"/>
          </w:tcPr>
          <w:p>
            <w:r>
              <w:t>Turnaround report skeleton built, median sits at 11 working days.</w:t>
            </w:r>
          </w:p>
        </w:tc>
      </w:tr>
      <w:tr>
        <w:tc>
          <w:tcPr>
            <w:tcW w:type="dxa" w:w="4320"/>
          </w:tcPr>
          <w:p>
            <w:r>
              <w:t>2026-07-28</w:t>
            </w:r>
          </w:p>
        </w:tc>
        <w:tc>
          <w:tcPr>
            <w:tcW w:type="dxa" w:w="4320"/>
          </w:tcPr>
          <w:p>
            <w:r>
              <w:t>Element frequency counts drafted, enrollment and demographics dominate.</w:t>
            </w:r>
          </w:p>
        </w:tc>
      </w:tr>
    </w:tbl>
    <w:p/>
    <w:p>
      <w:pPr>
        <w:pStyle w:val="Heading1"/>
      </w:pPr>
      <w:r>
        <w:t>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2026-07-15</w:t>
            </w:r>
          </w:p>
        </w:tc>
        <w:tc>
          <w:tcPr>
            <w:tcW w:type="dxa" w:w="2880"/>
          </w:tcPr>
          <w:p>
            <w:r>
              <w:t>Turnaround clock pauses when the request is with the requester</w:t>
            </w:r>
          </w:p>
        </w:tc>
        <w:tc>
          <w:tcPr>
            <w:tcW w:type="dxa" w:w="2880"/>
          </w:tcPr>
          <w:p>
            <w:r>
              <w:t>Measures what we control rather than total elapsed time</w:t>
            </w:r>
          </w:p>
        </w:tc>
      </w:tr>
    </w:tbl>
    <w:p/>
    <w:p>
      <w:pPr>
        <w:pStyle w:val="Heading1"/>
      </w:pPr>
      <w:r>
        <w:t>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Request log</w:t>
            </w:r>
          </w:p>
        </w:tc>
        <w:tc>
          <w:tcPr>
            <w:tcW w:type="dxa" w:w="4320"/>
          </w:tcPr>
          <w:p>
            <w:r>
              <w:t>Research Compliance / IRB / request-log</w:t>
            </w:r>
          </w:p>
        </w:tc>
      </w:tr>
      <w:tr>
        <w:tc>
          <w:tcPr>
            <w:tcW w:type="dxa" w:w="4320"/>
          </w:tcPr>
          <w:p>
            <w:r>
              <w:t>Intake form</w:t>
            </w:r>
          </w:p>
        </w:tc>
        <w:tc>
          <w:tcPr>
            <w:tcW w:type="dxa" w:w="4320"/>
          </w:tcPr>
          <w:p>
            <w:r>
              <w:t>Research Compliance / IRB / intake</w:t>
            </w:r>
          </w:p>
        </w:tc>
      </w:tr>
      <w:tr>
        <w:tc>
          <w:tcPr>
            <w:tcW w:type="dxa" w:w="4320"/>
          </w:tcPr>
          <w:p>
            <w:r>
              <w:t>Turnaround report</w:t>
            </w:r>
          </w:p>
        </w:tc>
        <w:tc>
          <w:tcPr>
            <w:tcW w:type="dxa" w:w="4320"/>
          </w:tcPr>
          <w:p>
            <w:r>
              <w:t>Division Analytics / Research / irb-turnaround</w:t>
            </w:r>
          </w:p>
        </w:tc>
      </w:tr>
    </w:tbl>
    <w:p/>
    <w:p>
      <w:pPr>
        <w:pStyle w:val="Heading1"/>
      </w:pPr>
      <w:r>
        <w:t>Notes</w:t>
      </w:r>
    </w:p>
    <w:p>
      <w:r>
        <w:t>The pause rule matters a lot. Raw elapsed time made us look far slower than we are, because most long requests are long while sitting with the requester.</w:t>
      </w:r>
    </w:p>
    <w:p>
      <w:r>
        <w:t>Roughly a third of requests ask for the same handful of elements. Those are the candidates for a standing extract.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