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Expenditures Reporting</w:t>
      </w:r>
    </w:p>
    <w:p>
      <w:r>
        <w:t>Project Status: In review with the research office</w:t>
      </w:r>
    </w:p>
    <w:p>
      <w:r>
        <w:t>Unit: Research and Compliance</w:t>
      </w:r>
    </w:p>
    <w:p>
      <w:r>
        <w:t>Report refreshed: 2026-07-29</w:t>
      </w:r>
    </w:p>
    <w:p>
      <w:pPr>
        <w:pStyle w:val="Heading1"/>
      </w:pPr>
      <w:r>
        <w:t>Overview</w:t>
      </w:r>
    </w:p>
    <w:p>
      <w:r>
        <w:t>Annual research expenditure reporting, assembled from the finance system and reconciled against sponsored programs records before it goes to federal survey submission. Accuracy matters more than speed here.</w:t>
      </w:r>
    </w:p>
    <w:p>
      <w:pPr>
        <w:pStyle w:val="Heading1"/>
      </w:pPr>
      <w:r>
        <w:t>Project Driving Questions</w:t>
      </w:r>
    </w:p>
    <w:tbl>
      <w:tblPr>
        <w:tblStyle w:val="TableGrid"/>
        <w:tblW w:type="auto" w:w="0"/>
        <w:tblLook w:firstColumn="1" w:firstRow="1" w:lastColumn="0" w:lastRow="0" w:noHBand="0" w:noVBand="1" w:val="04A0"/>
      </w:tblPr>
      <w:tblGrid>
        <w:gridCol w:w="8640"/>
      </w:tblGrid>
      <w:tr>
        <w:tc>
          <w:tcPr>
            <w:tcW w:type="dxa" w:w="8640"/>
          </w:tcPr>
          <w:p>
            <w:r/>
            <w:r>
              <w:rPr>
                <w:b/>
              </w:rPr>
              <w:t>Question</w:t>
            </w:r>
          </w:p>
        </w:tc>
      </w:tr>
      <w:tr>
        <w:tc>
          <w:tcPr>
            <w:tcW w:type="dxa" w:w="8640"/>
          </w:tcPr>
          <w:p>
            <w:r>
              <w:t>What did the institution spend on research this year, by field and by funding source?</w:t>
            </w:r>
          </w:p>
        </w:tc>
      </w:tr>
      <w:tr>
        <w:tc>
          <w:tcPr>
            <w:tcW w:type="dxa" w:w="8640"/>
          </w:tcPr>
          <w:p>
            <w:r>
              <w:t>Where do finance and sponsored programs disagree, and why?</w:t>
            </w:r>
          </w:p>
        </w:tc>
      </w:tr>
      <w:tr>
        <w:tc>
          <w:tcPr>
            <w:tcW w:type="dxa" w:w="8640"/>
          </w:tcPr>
          <w:p>
            <w:r>
              <w:t>How does the expenditure trend compare to peer institutions?</w:t>
            </w:r>
          </w:p>
        </w:tc>
      </w:tr>
      <w:tr>
        <w:tc>
          <w:tcPr>
            <w:tcW w:type="dxa" w:w="8640"/>
          </w:tcPr>
          <w:p>
            <w:r>
              <w:t>Which fund groups moved between years, and does the prior year need restating?</w:t>
            </w:r>
          </w:p>
        </w:tc>
      </w:tr>
      <w:tr>
        <w:tc>
          <w:tcPr>
            <w:tcW w:type="dxa" w:w="8640"/>
          </w:tcPr>
          <w:p>
            <w:r>
              <w:t>What share of expenditure passes through to subaward recipients?</w:t>
            </w:r>
          </w:p>
        </w:tc>
      </w:tr>
    </w:tbl>
    <w:p/>
    <w:p>
      <w:pPr>
        <w:pStyle w:val="Heading1"/>
      </w:pPr>
      <w:r>
        <w:t>Team</w:t>
      </w:r>
    </w:p>
    <w:tbl>
      <w:tblPr>
        <w:tblStyle w:val="TableGrid"/>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Role</w:t>
            </w:r>
          </w:p>
        </w:tc>
      </w:tr>
      <w:tr>
        <w:tc>
          <w:tcPr>
            <w:tcW w:type="dxa" w:w="4320"/>
          </w:tcPr>
          <w:p>
            <w:r>
              <w:t>Gordon Pike</w:t>
            </w:r>
          </w:p>
        </w:tc>
        <w:tc>
          <w:tcPr>
            <w:tcW w:type="dxa" w:w="4320"/>
          </w:tcPr>
          <w:p>
            <w:r>
              <w:t>Project lead</w:t>
            </w:r>
          </w:p>
        </w:tc>
      </w:tr>
      <w:tr>
        <w:tc>
          <w:tcPr>
            <w:tcW w:type="dxa" w:w="4320"/>
          </w:tcPr>
          <w:p>
            <w:r>
              <w:t>Aisha Nabulsi</w:t>
            </w:r>
          </w:p>
        </w:tc>
        <w:tc>
          <w:tcPr>
            <w:tcW w:type="dxa" w:w="4320"/>
          </w:tcPr>
          <w:p>
            <w:r>
              <w:t>Finance analyst</w:t>
            </w:r>
          </w:p>
        </w:tc>
      </w:tr>
      <w:tr>
        <w:tc>
          <w:tcPr>
            <w:tcW w:type="dxa" w:w="4320"/>
          </w:tcPr>
          <w:p>
            <w:r>
              <w:t>Victor Sandoval</w:t>
            </w:r>
          </w:p>
        </w:tc>
        <w:tc>
          <w:tcPr>
            <w:tcW w:type="dxa" w:w="4320"/>
          </w:tcPr>
          <w:p>
            <w:r>
              <w:t>Sponsored programs liaison</w:t>
            </w:r>
          </w:p>
        </w:tc>
      </w:tr>
      <w:tr>
        <w:tc>
          <w:tcPr>
            <w:tcW w:type="dxa" w:w="4320"/>
          </w:tcPr>
          <w:p>
            <w:r>
              <w:t>Priya Raghunathan</w:t>
            </w:r>
          </w:p>
        </w:tc>
        <w:tc>
          <w:tcPr>
            <w:tcW w:type="dxa" w:w="4320"/>
          </w:tcPr>
          <w:p>
            <w:r>
              <w:t>Institutional research analyst</w:t>
            </w:r>
          </w:p>
        </w:tc>
      </w:tr>
      <w:tr>
        <w:tc>
          <w:tcPr>
            <w:tcW w:type="dxa" w:w="4320"/>
          </w:tcPr>
          <w:p>
            <w:r>
              <w:t>Harriet Nkemelu</w:t>
            </w:r>
          </w:p>
        </w:tc>
        <w:tc>
          <w:tcPr>
            <w:tcW w:type="dxa" w:w="4320"/>
          </w:tcPr>
          <w:p>
            <w:r>
              <w:t>Controller office contact</w:t>
            </w:r>
          </w:p>
        </w:tc>
      </w:tr>
    </w:tbl>
    <w:p/>
    <w:p>
      <w:pPr>
        <w:pStyle w:val="Heading1"/>
      </w:pPr>
      <w:r>
        <w:t>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Milestone</w:t>
            </w:r>
          </w:p>
        </w:tc>
        <w:tc>
          <w:tcPr>
            <w:tcW w:type="dxa" w:w="2880"/>
          </w:tcPr>
          <w:p>
            <w:r/>
            <w:r>
              <w:rPr>
                <w:b/>
              </w:rPr>
              <w:t>Target</w:t>
            </w:r>
          </w:p>
        </w:tc>
        <w:tc>
          <w:tcPr>
            <w:tcW w:type="dxa" w:w="2880"/>
          </w:tcPr>
          <w:p>
            <w:r/>
            <w:r>
              <w:rPr>
                <w:b/>
              </w:rPr>
              <w:t>Status</w:t>
            </w:r>
          </w:p>
        </w:tc>
      </w:tr>
      <w:tr>
        <w:tc>
          <w:tcPr>
            <w:tcW w:type="dxa" w:w="2880"/>
          </w:tcPr>
          <w:p>
            <w:r>
              <w:t>Annual cycle opened with the research office</w:t>
            </w:r>
          </w:p>
        </w:tc>
        <w:tc>
          <w:tcPr>
            <w:tcW w:type="dxa" w:w="2880"/>
          </w:tcPr>
          <w:p>
            <w:r>
              <w:t>2026-06-17</w:t>
            </w:r>
          </w:p>
        </w:tc>
        <w:tc>
          <w:tcPr>
            <w:tcW w:type="dxa" w:w="2880"/>
          </w:tcPr>
          <w:p>
            <w:r>
              <w:t>Done</w:t>
            </w:r>
          </w:p>
        </w:tc>
      </w:tr>
      <w:tr>
        <w:tc>
          <w:tcPr>
            <w:tcW w:type="dxa" w:w="2880"/>
          </w:tcPr>
          <w:p>
            <w:r>
              <w:t>Finance extract reconciled</w:t>
            </w:r>
          </w:p>
        </w:tc>
        <w:tc>
          <w:tcPr>
            <w:tcW w:type="dxa" w:w="2880"/>
          </w:tcPr>
          <w:p>
            <w:r>
              <w:t>2026-06-25</w:t>
            </w:r>
          </w:p>
        </w:tc>
        <w:tc>
          <w:tcPr>
            <w:tcW w:type="dxa" w:w="2880"/>
          </w:tcPr>
          <w:p>
            <w:r>
              <w:t>Done</w:t>
            </w:r>
          </w:p>
        </w:tc>
      </w:tr>
      <w:tr>
        <w:tc>
          <w:tcPr>
            <w:tcW w:type="dxa" w:w="2880"/>
          </w:tcPr>
          <w:p>
            <w:r>
              <w:t>Field of science mapping refreshed</w:t>
            </w:r>
          </w:p>
        </w:tc>
        <w:tc>
          <w:tcPr>
            <w:tcW w:type="dxa" w:w="2880"/>
          </w:tcPr>
          <w:p>
            <w:r>
              <w:t>2026-06-30</w:t>
            </w:r>
          </w:p>
        </w:tc>
        <w:tc>
          <w:tcPr>
            <w:tcW w:type="dxa" w:w="2880"/>
          </w:tcPr>
          <w:p>
            <w:r>
              <w:t>Done</w:t>
            </w:r>
          </w:p>
        </w:tc>
      </w:tr>
      <w:tr>
        <w:tc>
          <w:tcPr>
            <w:tcW w:type="dxa" w:w="2880"/>
          </w:tcPr>
          <w:p>
            <w:r>
              <w:t>Peer comparison set agreed</w:t>
            </w:r>
          </w:p>
        </w:tc>
        <w:tc>
          <w:tcPr>
            <w:tcW w:type="dxa" w:w="2880"/>
          </w:tcPr>
          <w:p>
            <w:r>
              <w:t>2026-07-13</w:t>
            </w:r>
          </w:p>
        </w:tc>
        <w:tc>
          <w:tcPr>
            <w:tcW w:type="dxa" w:w="2880"/>
          </w:tcPr>
          <w:p>
            <w:r>
              <w:t>Done</w:t>
            </w:r>
          </w:p>
        </w:tc>
      </w:tr>
      <w:tr>
        <w:tc>
          <w:tcPr>
            <w:tcW w:type="dxa" w:w="2880"/>
          </w:tcPr>
          <w:p>
            <w:r>
              <w:t>Draft submission assembled</w:t>
            </w:r>
          </w:p>
        </w:tc>
        <w:tc>
          <w:tcPr>
            <w:tcW w:type="dxa" w:w="2880"/>
          </w:tcPr>
          <w:p>
            <w:r>
              <w:t>2026-07-22</w:t>
            </w:r>
          </w:p>
        </w:tc>
        <w:tc>
          <w:tcPr>
            <w:tcW w:type="dxa" w:w="2880"/>
          </w:tcPr>
          <w:p>
            <w:r>
              <w:t>Done</w:t>
            </w:r>
          </w:p>
        </w:tc>
      </w:tr>
      <w:tr>
        <w:tc>
          <w:tcPr>
            <w:tcW w:type="dxa" w:w="2880"/>
          </w:tcPr>
          <w:p>
            <w:r>
              <w:t>Research office sign off</w:t>
            </w:r>
          </w:p>
        </w:tc>
        <w:tc>
          <w:tcPr>
            <w:tcW w:type="dxa" w:w="2880"/>
          </w:tcPr>
          <w:p>
            <w:r>
              <w:t>2026-08-12</w:t>
            </w:r>
          </w:p>
        </w:tc>
        <w:tc>
          <w:tcPr>
            <w:tcW w:type="dxa" w:w="2880"/>
          </w:tcPr>
          <w:p>
            <w:r>
              <w:t>In progress</w:t>
            </w:r>
          </w:p>
        </w:tc>
      </w:tr>
    </w:tbl>
    <w:p/>
    <w:p>
      <w:pPr>
        <w:pStyle w:val="Heading1"/>
      </w:pPr>
      <w:r>
        <w:t>Tasks</w:t>
      </w:r>
    </w:p>
    <w:tbl>
      <w:tblPr>
        <w:tblStyle w:val="TableGrid"/>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Status</w:t>
            </w:r>
          </w:p>
        </w:tc>
      </w:tr>
      <w:tr>
        <w:tc>
          <w:tcPr>
            <w:tcW w:type="dxa" w:w="4320"/>
          </w:tcPr>
          <w:p>
            <w:r>
              <w:t>Pull the finance expenditure extract</w:t>
            </w:r>
          </w:p>
        </w:tc>
        <w:tc>
          <w:tcPr>
            <w:tcW w:type="dxa" w:w="4320"/>
          </w:tcPr>
          <w:p>
            <w:r>
              <w:t>Done</w:t>
            </w:r>
          </w:p>
        </w:tc>
      </w:tr>
      <w:tr>
        <w:tc>
          <w:tcPr>
            <w:tcW w:type="dxa" w:w="4320"/>
          </w:tcPr>
          <w:p>
            <w:r>
              <w:t>Reconcile against sponsored programs totals</w:t>
            </w:r>
          </w:p>
        </w:tc>
        <w:tc>
          <w:tcPr>
            <w:tcW w:type="dxa" w:w="4320"/>
          </w:tcPr>
          <w:p>
            <w:r>
              <w:t>Done</w:t>
            </w:r>
          </w:p>
        </w:tc>
      </w:tr>
      <w:tr>
        <w:tc>
          <w:tcPr>
            <w:tcW w:type="dxa" w:w="4320"/>
          </w:tcPr>
          <w:p>
            <w:r>
              <w:t>Refresh the field of science crosswalk</w:t>
            </w:r>
          </w:p>
        </w:tc>
        <w:tc>
          <w:tcPr>
            <w:tcW w:type="dxa" w:w="4320"/>
          </w:tcPr>
          <w:p>
            <w:r>
              <w:t>Done</w:t>
            </w:r>
          </w:p>
        </w:tc>
      </w:tr>
      <w:tr>
        <w:tc>
          <w:tcPr>
            <w:tcW w:type="dxa" w:w="4320"/>
          </w:tcPr>
          <w:p>
            <w:r>
              <w:t>Agree the peer comparison set</w:t>
            </w:r>
          </w:p>
        </w:tc>
        <w:tc>
          <w:tcPr>
            <w:tcW w:type="dxa" w:w="4320"/>
          </w:tcPr>
          <w:p>
            <w:r>
              <w:t>Done</w:t>
            </w:r>
          </w:p>
        </w:tc>
      </w:tr>
      <w:tr>
        <w:tc>
          <w:tcPr>
            <w:tcW w:type="dxa" w:w="4320"/>
          </w:tcPr>
          <w:p>
            <w:r>
              <w:t>Resolve the clinical trials fund group treatment</w:t>
            </w:r>
          </w:p>
        </w:tc>
        <w:tc>
          <w:tcPr>
            <w:tcW w:type="dxa" w:w="4320"/>
          </w:tcPr>
          <w:p>
            <w:r>
              <w:t>Done</w:t>
            </w:r>
          </w:p>
        </w:tc>
      </w:tr>
      <w:tr>
        <w:tc>
          <w:tcPr>
            <w:tcW w:type="dxa" w:w="4320"/>
          </w:tcPr>
          <w:p>
            <w:r>
              <w:t>Assemble the draft submission</w:t>
            </w:r>
          </w:p>
        </w:tc>
        <w:tc>
          <w:tcPr>
            <w:tcW w:type="dxa" w:w="4320"/>
          </w:tcPr>
          <w:p>
            <w:r>
              <w:t>Done</w:t>
            </w:r>
          </w:p>
        </w:tc>
      </w:tr>
      <w:tr>
        <w:tc>
          <w:tcPr>
            <w:tcW w:type="dxa" w:w="4320"/>
          </w:tcPr>
          <w:p>
            <w:r>
              <w:t>Walk the research office through the variances</w:t>
            </w:r>
          </w:p>
        </w:tc>
        <w:tc>
          <w:tcPr>
            <w:tcW w:type="dxa" w:w="4320"/>
          </w:tcPr>
          <w:p>
            <w:r>
              <w:t>In progress</w:t>
            </w:r>
          </w:p>
        </w:tc>
      </w:tr>
      <w:tr>
        <w:tc>
          <w:tcPr>
            <w:tcW w:type="dxa" w:w="4320"/>
          </w:tcPr>
          <w:p>
            <w:r>
              <w:t>Write the subaward timing footnote</w:t>
            </w:r>
          </w:p>
        </w:tc>
        <w:tc>
          <w:tcPr>
            <w:tcW w:type="dxa" w:w="4320"/>
          </w:tcPr>
          <w:p>
            <w:r>
              <w:t>In progress</w:t>
            </w:r>
          </w:p>
        </w:tc>
      </w:tr>
      <w:tr>
        <w:tc>
          <w:tcPr>
            <w:tcW w:type="dxa" w:w="4320"/>
          </w:tcPr>
          <w:p>
            <w:r>
              <w:t>Prepare the peer comparison pack for leadership</w:t>
            </w:r>
          </w:p>
        </w:tc>
        <w:tc>
          <w:tcPr>
            <w:tcW w:type="dxa" w:w="4320"/>
          </w:tcPr>
          <w:p>
            <w:r>
              <w:t>Not started</w:t>
            </w:r>
          </w:p>
        </w:tc>
      </w:tr>
      <w:tr>
        <w:tc>
          <w:tcPr>
            <w:tcW w:type="dxa" w:w="4320"/>
          </w:tcPr>
          <w:p>
            <w:r>
              <w:t>Submit the final figures</w:t>
            </w:r>
          </w:p>
        </w:tc>
        <w:tc>
          <w:tcPr>
            <w:tcW w:type="dxa" w:w="4320"/>
          </w:tcPr>
          <w:p>
            <w:r>
              <w:t>Not started</w:t>
            </w:r>
          </w:p>
        </w:tc>
      </w:tr>
    </w:tbl>
    <w:p/>
    <w:p>
      <w:pPr>
        <w:pStyle w:val="Heading1"/>
      </w:pPr>
      <w:r>
        <w:t>Release 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Release</w:t>
            </w:r>
          </w:p>
        </w:tc>
        <w:tc>
          <w:tcPr>
            <w:tcW w:type="dxa" w:w="1728"/>
          </w:tcPr>
          <w:p>
            <w:r/>
            <w:r>
              <w:rPr>
                <w:b/>
              </w:rPr>
              <w:t>Env</w:t>
            </w:r>
          </w:p>
        </w:tc>
        <w:tc>
          <w:tcPr>
            <w:tcW w:type="dxa" w:w="1728"/>
          </w:tcPr>
          <w:p>
            <w:r/>
            <w:r>
              <w:rPr>
                <w:b/>
              </w:rPr>
              <w:t>Target</w:t>
            </w:r>
          </w:p>
        </w:tc>
        <w:tc>
          <w:tcPr>
            <w:tcW w:type="dxa" w:w="1728"/>
          </w:tcPr>
          <w:p>
            <w:r/>
            <w:r>
              <w:rPr>
                <w:b/>
              </w:rPr>
              <w:t>Shipped</w:t>
            </w:r>
          </w:p>
        </w:tc>
        <w:tc>
          <w:tcPr>
            <w:tcW w:type="dxa" w:w="1728"/>
          </w:tcPr>
          <w:p>
            <w:r/>
            <w:r>
              <w:rPr>
                <w:b/>
              </w:rPr>
              <w:t>Status</w:t>
            </w:r>
          </w:p>
        </w:tc>
      </w:tr>
      <w:tr>
        <w:tc>
          <w:tcPr>
            <w:tcW w:type="dxa" w:w="1728"/>
          </w:tcPr>
          <w:p>
            <w:r>
              <w:t>FY26.1</w:t>
            </w:r>
          </w:p>
        </w:tc>
        <w:tc>
          <w:tcPr>
            <w:tcW w:type="dxa" w:w="1728"/>
          </w:tcPr>
          <w:p>
            <w:r>
              <w:t>Internal</w:t>
            </w:r>
          </w:p>
        </w:tc>
        <w:tc>
          <w:tcPr>
            <w:tcW w:type="dxa" w:w="1728"/>
          </w:tcPr>
          <w:p>
            <w:r>
              <w:t>2026-06-25</w:t>
            </w:r>
          </w:p>
        </w:tc>
        <w:tc>
          <w:tcPr>
            <w:tcW w:type="dxa" w:w="1728"/>
          </w:tcPr>
          <w:p>
            <w:r>
              <w:t>2026-06-25</w:t>
            </w:r>
          </w:p>
        </w:tc>
        <w:tc>
          <w:tcPr>
            <w:tcW w:type="dxa" w:w="1728"/>
          </w:tcPr>
          <w:p>
            <w:r>
              <w:t>Shipped</w:t>
            </w:r>
          </w:p>
        </w:tc>
      </w:tr>
      <w:tr>
        <w:tc>
          <w:tcPr>
            <w:tcW w:type="dxa" w:w="1728"/>
          </w:tcPr>
          <w:p>
            <w:r>
              <w:t>FY26.2</w:t>
            </w:r>
          </w:p>
        </w:tc>
        <w:tc>
          <w:tcPr>
            <w:tcW w:type="dxa" w:w="1728"/>
          </w:tcPr>
          <w:p>
            <w:r>
              <w:t>Research office</w:t>
            </w:r>
          </w:p>
        </w:tc>
        <w:tc>
          <w:tcPr>
            <w:tcW w:type="dxa" w:w="1728"/>
          </w:tcPr>
          <w:p>
            <w:r>
              <w:t>2026-07-22</w:t>
            </w:r>
          </w:p>
        </w:tc>
        <w:tc>
          <w:tcPr>
            <w:tcW w:type="dxa" w:w="1728"/>
          </w:tcPr>
          <w:p>
            <w:r>
              <w:t>2026-07-22</w:t>
            </w:r>
          </w:p>
        </w:tc>
        <w:tc>
          <w:tcPr>
            <w:tcW w:type="dxa" w:w="1728"/>
          </w:tcPr>
          <w:p>
            <w:r>
              <w:t>Shipped</w:t>
            </w:r>
          </w:p>
        </w:tc>
      </w:tr>
      <w:tr>
        <w:tc>
          <w:tcPr>
            <w:tcW w:type="dxa" w:w="1728"/>
          </w:tcPr>
          <w:p>
            <w:r>
              <w:t>FY26.3</w:t>
            </w:r>
          </w:p>
        </w:tc>
        <w:tc>
          <w:tcPr>
            <w:tcW w:type="dxa" w:w="1728"/>
          </w:tcPr>
          <w:p>
            <w:r>
              <w:t>Research office</w:t>
            </w:r>
          </w:p>
        </w:tc>
        <w:tc>
          <w:tcPr>
            <w:tcW w:type="dxa" w:w="1728"/>
          </w:tcPr>
          <w:p>
            <w:r>
              <w:t>2026-08-12</w:t>
            </w:r>
          </w:p>
        </w:tc>
        <w:tc>
          <w:tcPr>
            <w:tcW w:type="dxa" w:w="1728"/>
          </w:tcPr>
          <w:p>
            <w:r/>
          </w:p>
        </w:tc>
        <w:tc>
          <w:tcPr>
            <w:tcW w:type="dxa" w:w="1728"/>
          </w:tcPr>
          <w:p>
            <w:r>
              <w:t>Open</w:t>
            </w:r>
          </w:p>
        </w:tc>
      </w:tr>
      <w:tr>
        <w:tc>
          <w:tcPr>
            <w:tcW w:type="dxa" w:w="1728"/>
          </w:tcPr>
          <w:p>
            <w:r>
              <w:t>FY26.4</w:t>
            </w:r>
          </w:p>
        </w:tc>
        <w:tc>
          <w:tcPr>
            <w:tcW w:type="dxa" w:w="1728"/>
          </w:tcPr>
          <w:p>
            <w:r>
              <w:t>Federal</w:t>
            </w:r>
          </w:p>
        </w:tc>
        <w:tc>
          <w:tcPr>
            <w:tcW w:type="dxa" w:w="1728"/>
          </w:tcPr>
          <w:p>
            <w:r>
              <w:t>2026-10-01</w:t>
            </w:r>
          </w:p>
        </w:tc>
        <w:tc>
          <w:tcPr>
            <w:tcW w:type="dxa" w:w="1728"/>
          </w:tcPr>
          <w:p>
            <w:r/>
          </w:p>
        </w:tc>
        <w:tc>
          <w:tcPr>
            <w:tcW w:type="dxa" w:w="1728"/>
          </w:tcPr>
          <w:p>
            <w:r>
              <w:t>Planned</w:t>
            </w:r>
          </w:p>
        </w:tc>
      </w:tr>
    </w:tbl>
    <w:p/>
    <w:p>
      <w:pPr>
        <w:pStyle w:val="Heading1"/>
      </w:pPr>
      <w:r>
        <w:t>Feature Requests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Item</w:t>
            </w:r>
          </w:p>
        </w:tc>
        <w:tc>
          <w:tcPr>
            <w:tcW w:type="dxa" w:w="1440"/>
          </w:tcPr>
          <w:p>
            <w:r/>
            <w:r>
              <w:rPr>
                <w:b/>
              </w:rPr>
              <w:t>Request</w:t>
            </w:r>
          </w:p>
        </w:tc>
        <w:tc>
          <w:tcPr>
            <w:tcW w:type="dxa" w:w="1440"/>
          </w:tcPr>
          <w:p>
            <w:r/>
            <w:r>
              <w:rPr>
                <w:b/>
              </w:rPr>
              <w:t>From</w:t>
            </w:r>
          </w:p>
        </w:tc>
        <w:tc>
          <w:tcPr>
            <w:tcW w:type="dxa" w:w="1440"/>
          </w:tcPr>
          <w:p>
            <w:r/>
            <w:r>
              <w:rPr>
                <w:b/>
              </w:rPr>
              <w:t>Received</w:t>
            </w:r>
          </w:p>
        </w:tc>
        <w:tc>
          <w:tcPr>
            <w:tcW w:type="dxa" w:w="1440"/>
          </w:tcPr>
          <w:p>
            <w:r/>
            <w:r>
              <w:rPr>
                <w:b/>
              </w:rPr>
              <w:t>Target Drop</w:t>
            </w:r>
          </w:p>
        </w:tc>
        <w:tc>
          <w:tcPr>
            <w:tcW w:type="dxa" w:w="1440"/>
          </w:tcPr>
          <w:p>
            <w:r/>
            <w:r>
              <w:rPr>
                <w:b/>
              </w:rPr>
              <w:t>Status</w:t>
            </w:r>
          </w:p>
        </w:tc>
      </w:tr>
      <w:tr>
        <w:tc>
          <w:tcPr>
            <w:tcW w:type="dxa" w:w="1440"/>
          </w:tcPr>
          <w:p>
            <w:r>
              <w:t>1</w:t>
            </w:r>
          </w:p>
        </w:tc>
        <w:tc>
          <w:tcPr>
            <w:tcW w:type="dxa" w:w="1440"/>
          </w:tcPr>
          <w:p>
            <w:r>
              <w:t>Break expenditures out by college as well as field of science</w:t>
            </w:r>
          </w:p>
        </w:tc>
        <w:tc>
          <w:tcPr>
            <w:tcW w:type="dxa" w:w="1440"/>
          </w:tcPr>
          <w:p>
            <w:r>
              <w:t>Renata Alvarez</w:t>
            </w:r>
          </w:p>
        </w:tc>
        <w:tc>
          <w:tcPr>
            <w:tcW w:type="dxa" w:w="1440"/>
          </w:tcPr>
          <w:p>
            <w:r>
              <w:t>2026-06-24</w:t>
            </w:r>
          </w:p>
        </w:tc>
        <w:tc>
          <w:tcPr>
            <w:tcW w:type="dxa" w:w="1440"/>
          </w:tcPr>
          <w:p>
            <w:r>
              <w:t>FY26.2</w:t>
            </w:r>
          </w:p>
        </w:tc>
        <w:tc>
          <w:tcPr>
            <w:tcW w:type="dxa" w:w="1440"/>
          </w:tcPr>
          <w:p>
            <w:r>
              <w:t>Done</w:t>
            </w:r>
          </w:p>
        </w:tc>
      </w:tr>
      <w:tr>
        <w:tc>
          <w:tcPr>
            <w:tcW w:type="dxa" w:w="1440"/>
          </w:tcPr>
          <w:p>
            <w:r>
              <w:t>2</w:t>
            </w:r>
          </w:p>
        </w:tc>
        <w:tc>
          <w:tcPr>
            <w:tcW w:type="dxa" w:w="1440"/>
          </w:tcPr>
          <w:p>
            <w:r>
              <w:t>Report clinical trials income separately from other sponsored activity</w:t>
            </w:r>
          </w:p>
        </w:tc>
        <w:tc>
          <w:tcPr>
            <w:tcW w:type="dxa" w:w="1440"/>
          </w:tcPr>
          <w:p>
            <w:r>
              <w:t>Harriet Nkemelu</w:t>
            </w:r>
          </w:p>
        </w:tc>
        <w:tc>
          <w:tcPr>
            <w:tcW w:type="dxa" w:w="1440"/>
          </w:tcPr>
          <w:p>
            <w:r>
              <w:t>2026-07-02</w:t>
            </w:r>
          </w:p>
        </w:tc>
        <w:tc>
          <w:tcPr>
            <w:tcW w:type="dxa" w:w="1440"/>
          </w:tcPr>
          <w:p>
            <w:r>
              <w:t>FY26.2</w:t>
            </w:r>
          </w:p>
        </w:tc>
        <w:tc>
          <w:tcPr>
            <w:tcW w:type="dxa" w:w="1440"/>
          </w:tcPr>
          <w:p>
            <w:r>
              <w:t>Done</w:t>
            </w:r>
          </w:p>
        </w:tc>
      </w:tr>
      <w:tr>
        <w:tc>
          <w:tcPr>
            <w:tcW w:type="dxa" w:w="1440"/>
          </w:tcPr>
          <w:p>
            <w:r>
              <w:t>3</w:t>
            </w:r>
          </w:p>
        </w:tc>
        <w:tc>
          <w:tcPr>
            <w:tcW w:type="dxa" w:w="1440"/>
          </w:tcPr>
          <w:p>
            <w:r>
              <w:t>Show subaward pass through as its own line</w:t>
            </w:r>
          </w:p>
        </w:tc>
        <w:tc>
          <w:tcPr>
            <w:tcW w:type="dxa" w:w="1440"/>
          </w:tcPr>
          <w:p>
            <w:r>
              <w:t>Victor Sandoval</w:t>
            </w:r>
          </w:p>
        </w:tc>
        <w:tc>
          <w:tcPr>
            <w:tcW w:type="dxa" w:w="1440"/>
          </w:tcPr>
          <w:p>
            <w:r>
              <w:t>2026-07-15</w:t>
            </w:r>
          </w:p>
        </w:tc>
        <w:tc>
          <w:tcPr>
            <w:tcW w:type="dxa" w:w="1440"/>
          </w:tcPr>
          <w:p>
            <w:r>
              <w:t>FY26.3</w:t>
            </w:r>
          </w:p>
        </w:tc>
        <w:tc>
          <w:tcPr>
            <w:tcW w:type="dxa" w:w="1440"/>
          </w:tcPr>
          <w:p>
            <w:r>
              <w:t>Open</w:t>
            </w:r>
          </w:p>
        </w:tc>
      </w:tr>
      <w:tr>
        <w:tc>
          <w:tcPr>
            <w:tcW w:type="dxa" w:w="1440"/>
          </w:tcPr>
          <w:p>
            <w:r>
              <w:t>4</w:t>
            </w:r>
          </w:p>
        </w:tc>
        <w:tc>
          <w:tcPr>
            <w:tcW w:type="dxa" w:w="1440"/>
          </w:tcPr>
          <w:p>
            <w:r>
              <w:t>Three year trend by funding source for the board packet</w:t>
            </w:r>
          </w:p>
        </w:tc>
        <w:tc>
          <w:tcPr>
            <w:tcW w:type="dxa" w:w="1440"/>
          </w:tcPr>
          <w:p>
            <w:r>
              <w:t>Harriet Nkemelu</w:t>
            </w:r>
          </w:p>
        </w:tc>
        <w:tc>
          <w:tcPr>
            <w:tcW w:type="dxa" w:w="1440"/>
          </w:tcPr>
          <w:p>
            <w:r>
              <w:t>2026-07-24</w:t>
            </w:r>
          </w:p>
        </w:tc>
        <w:tc>
          <w:tcPr>
            <w:tcW w:type="dxa" w:w="1440"/>
          </w:tcPr>
          <w:p>
            <w:r>
              <w:t>FY26.3</w:t>
            </w:r>
          </w:p>
        </w:tc>
        <w:tc>
          <w:tcPr>
            <w:tcW w:type="dxa" w:w="1440"/>
          </w:tcPr>
          <w:p>
            <w:r>
              <w:t>Open</w:t>
            </w:r>
          </w:p>
        </w:tc>
      </w:tr>
      <w:tr>
        <w:tc>
          <w:tcPr>
            <w:tcW w:type="dxa" w:w="1440"/>
          </w:tcPr>
          <w:p>
            <w:r>
              <w:t>5</w:t>
            </w:r>
          </w:p>
        </w:tc>
        <w:tc>
          <w:tcPr>
            <w:tcW w:type="dxa" w:w="1440"/>
          </w:tcPr>
          <w:p>
            <w:r>
              <w:t>Peer comparison slide for the leadership pack</w:t>
            </w:r>
          </w:p>
        </w:tc>
        <w:tc>
          <w:tcPr>
            <w:tcW w:type="dxa" w:w="1440"/>
          </w:tcPr>
          <w:p>
            <w:r>
              <w:t>Cynthia Vale</w:t>
            </w:r>
          </w:p>
        </w:tc>
        <w:tc>
          <w:tcPr>
            <w:tcW w:type="dxa" w:w="1440"/>
          </w:tcPr>
          <w:p>
            <w:r>
              <w:t>2026-07-27</w:t>
            </w:r>
          </w:p>
        </w:tc>
        <w:tc>
          <w:tcPr>
            <w:tcW w:type="dxa" w:w="1440"/>
          </w:tcPr>
          <w:p>
            <w:r>
              <w:t>FY26.3</w:t>
            </w:r>
          </w:p>
        </w:tc>
        <w:tc>
          <w:tcPr>
            <w:tcW w:type="dxa" w:w="1440"/>
          </w:tcPr>
          <w:p>
            <w:r>
              <w:t>Done</w:t>
            </w:r>
          </w:p>
        </w:tc>
      </w:tr>
      <w:tr>
        <w:tc>
          <w:tcPr>
            <w:tcW w:type="dxa" w:w="1440"/>
          </w:tcPr>
          <w:p>
            <w:r>
              <w:t>6</w:t>
            </w:r>
          </w:p>
        </w:tc>
        <w:tc>
          <w:tcPr>
            <w:tcW w:type="dxa" w:w="1440"/>
          </w:tcPr>
          <w:p>
            <w:r>
              <w:t>Restate the last five years on the new fund grouping</w:t>
            </w:r>
          </w:p>
        </w:tc>
        <w:tc>
          <w:tcPr>
            <w:tcW w:type="dxa" w:w="1440"/>
          </w:tcPr>
          <w:p>
            <w:r>
              <w:t>Renata Alvarez</w:t>
            </w:r>
          </w:p>
        </w:tc>
        <w:tc>
          <w:tcPr>
            <w:tcW w:type="dxa" w:w="1440"/>
          </w:tcPr>
          <w:p>
            <w:r>
              <w:t>2026-07-28</w:t>
            </w:r>
          </w:p>
        </w:tc>
        <w:tc>
          <w:tcPr>
            <w:tcW w:type="dxa" w:w="1440"/>
          </w:tcPr>
          <w:p>
            <w:r>
              <w:t>FY26.4</w:t>
            </w:r>
          </w:p>
        </w:tc>
        <w:tc>
          <w:tcPr>
            <w:tcW w:type="dxa" w:w="1440"/>
          </w:tcPr>
          <w:p>
            <w:r>
              <w:t>Open</w:t>
            </w:r>
          </w:p>
        </w:tc>
      </w:tr>
      <w:tr>
        <w:tc>
          <w:tcPr>
            <w:tcW w:type="dxa" w:w="1440"/>
          </w:tcPr>
          <w:p>
            <w:r>
              <w:t>7</w:t>
            </w:r>
          </w:p>
        </w:tc>
        <w:tc>
          <w:tcPr>
            <w:tcW w:type="dxa" w:w="1440"/>
          </w:tcPr>
          <w:p>
            <w:r>
              <w:t>Monthly expenditure tracking through the year</w:t>
            </w:r>
          </w:p>
        </w:tc>
        <w:tc>
          <w:tcPr>
            <w:tcW w:type="dxa" w:w="1440"/>
          </w:tcPr>
          <w:p>
            <w:r>
              <w:t>Various</w:t>
            </w:r>
          </w:p>
        </w:tc>
        <w:tc>
          <w:tcPr>
            <w:tcW w:type="dxa" w:w="1440"/>
          </w:tcPr>
          <w:p>
            <w:r>
              <w:t>2026-07-06</w:t>
            </w:r>
          </w:p>
        </w:tc>
        <w:tc>
          <w:tcPr>
            <w:tcW w:type="dxa" w:w="1440"/>
          </w:tcPr>
          <w:p>
            <w:r/>
          </w:p>
        </w:tc>
        <w:tc>
          <w:tcPr>
            <w:tcW w:type="dxa" w:w="1440"/>
          </w:tcPr>
          <w:p>
            <w:r>
              <w:t>Declined</w:t>
            </w:r>
          </w:p>
        </w:tc>
      </w:tr>
    </w:tbl>
    <w:p/>
    <w:p>
      <w:pPr>
        <w:pStyle w:val="Heading1"/>
      </w:pPr>
      <w:r>
        <w:t>Log</w:t>
      </w:r>
    </w:p>
    <w:tbl>
      <w:tblPr>
        <w:tblStyle w:val="TableGrid"/>
        <w:tblW w:type="auto" w:w="0"/>
        <w:tblLook w:firstColumn="1" w:firstRow="1" w:lastColumn="0" w:lastRow="0" w:noHBand="0" w:noVBand="1" w:val="04A0"/>
      </w:tblPr>
      <w:tblGrid>
        <w:gridCol w:w="4320"/>
        <w:gridCol w:w="4320"/>
      </w:tblGrid>
      <w:tr>
        <w:tc>
          <w:tcPr>
            <w:tcW w:type="dxa" w:w="4320"/>
          </w:tcPr>
          <w:p>
            <w:r/>
            <w:r>
              <w:rPr>
                <w:b/>
              </w:rPr>
              <w:t>Date</w:t>
            </w:r>
          </w:p>
        </w:tc>
        <w:tc>
          <w:tcPr>
            <w:tcW w:type="dxa" w:w="4320"/>
          </w:tcPr>
          <w:p>
            <w:r/>
            <w:r>
              <w:rPr>
                <w:b/>
              </w:rPr>
              <w:t>Update</w:t>
            </w:r>
          </w:p>
        </w:tc>
      </w:tr>
      <w:tr>
        <w:tc>
          <w:tcPr>
            <w:tcW w:type="dxa" w:w="4320"/>
          </w:tcPr>
          <w:p>
            <w:r>
              <w:t>2026-06-17</w:t>
            </w:r>
          </w:p>
        </w:tc>
        <w:tc>
          <w:tcPr>
            <w:tcW w:type="dxa" w:w="4320"/>
          </w:tcPr>
          <w:p>
            <w:r>
              <w:t>Annual cycle opened with the research office, submission window confirmed as 2026-10-01.</w:t>
            </w:r>
          </w:p>
        </w:tc>
      </w:tr>
      <w:tr>
        <w:tc>
          <w:tcPr>
            <w:tcW w:type="dxa" w:w="4320"/>
          </w:tcPr>
          <w:p>
            <w:r>
              <w:t>2026-06-19</w:t>
            </w:r>
          </w:p>
        </w:tc>
        <w:tc>
          <w:tcPr>
            <w:tcW w:type="dxa" w:w="4320"/>
          </w:tcPr>
          <w:p>
            <w:r>
              <w:t>Finance expenditure extract pulled for the year, 4,180 award lines.</w:t>
            </w:r>
          </w:p>
        </w:tc>
      </w:tr>
      <w:tr>
        <w:tc>
          <w:tcPr>
            <w:tcW w:type="dxa" w:w="4320"/>
          </w:tcPr>
          <w:p>
            <w:r>
              <w:t>2026-06-22</w:t>
            </w:r>
          </w:p>
        </w:tc>
        <w:tc>
          <w:tcPr>
            <w:tcW w:type="dxa" w:w="4320"/>
          </w:tcPr>
          <w:p>
            <w:r>
              <w:t>First pass reconciliation against sponsored programs, 2.1 percent gap sitting in subawards.</w:t>
            </w:r>
          </w:p>
        </w:tc>
      </w:tr>
      <w:tr>
        <w:tc>
          <w:tcPr>
            <w:tcW w:type="dxa" w:w="4320"/>
          </w:tcPr>
          <w:p>
            <w:r>
              <w:t>2026-06-25</w:t>
            </w:r>
          </w:p>
        </w:tc>
        <w:tc>
          <w:tcPr>
            <w:tcW w:type="dxa" w:w="4320"/>
          </w:tcPr>
          <w:p>
            <w:r>
              <w:t>Gap narrowed to 0.4 percent once cost share bookings were excluded.</w:t>
            </w:r>
          </w:p>
        </w:tc>
      </w:tr>
      <w:tr>
        <w:tc>
          <w:tcPr>
            <w:tcW w:type="dxa" w:w="4320"/>
          </w:tcPr>
          <w:p>
            <w:r>
              <w:t>2026-06-29</w:t>
            </w:r>
          </w:p>
        </w:tc>
        <w:tc>
          <w:tcPr>
            <w:tcW w:type="dxa" w:w="4320"/>
          </w:tcPr>
          <w:p>
            <w:r>
              <w:t>Field of science crosswalk refreshed, twelve new subaward mappings added.</w:t>
            </w:r>
          </w:p>
        </w:tc>
      </w:tr>
      <w:tr>
        <w:tc>
          <w:tcPr>
            <w:tcW w:type="dxa" w:w="4320"/>
          </w:tcPr>
          <w:p>
            <w:r>
              <w:t>2026-07-01</w:t>
            </w:r>
          </w:p>
        </w:tc>
        <w:tc>
          <w:tcPr>
            <w:tcW w:type="dxa" w:w="4320"/>
          </w:tcPr>
          <w:p>
            <w:r>
              <w:t>Started the peer comparison pull from the published federal tables.</w:t>
            </w:r>
          </w:p>
        </w:tc>
      </w:tr>
      <w:tr>
        <w:tc>
          <w:tcPr>
            <w:tcW w:type="dxa" w:w="4320"/>
          </w:tcPr>
          <w:p>
            <w:r>
              <w:t>2026-07-06</w:t>
            </w:r>
          </w:p>
        </w:tc>
        <w:tc>
          <w:tcPr>
            <w:tcW w:type="dxa" w:w="4320"/>
          </w:tcPr>
          <w:p>
            <w:r>
              <w:t>Clinical trials income queried, it sits in a different fund group than last year.</w:t>
            </w:r>
          </w:p>
        </w:tc>
      </w:tr>
      <w:tr>
        <w:tc>
          <w:tcPr>
            <w:tcW w:type="dxa" w:w="4320"/>
          </w:tcPr>
          <w:p>
            <w:r>
              <w:t>2026-07-09</w:t>
            </w:r>
          </w:p>
        </w:tc>
        <w:tc>
          <w:tcPr>
            <w:tcW w:type="dxa" w:w="4320"/>
          </w:tcPr>
          <w:p>
            <w:r>
              <w:t>Clinical trials treatment confirmed with the controller, prior year restated for comparability.</w:t>
            </w:r>
          </w:p>
        </w:tc>
      </w:tr>
      <w:tr>
        <w:tc>
          <w:tcPr>
            <w:tcW w:type="dxa" w:w="4320"/>
          </w:tcPr>
          <w:p>
            <w:r>
              <w:t>2026-07-13</w:t>
            </w:r>
          </w:p>
        </w:tc>
        <w:tc>
          <w:tcPr>
            <w:tcW w:type="dxa" w:w="4320"/>
          </w:tcPr>
          <w:p>
            <w:r>
              <w:t>Peer set agreed with the research office, eleven institutions.</w:t>
            </w:r>
          </w:p>
        </w:tc>
      </w:tr>
      <w:tr>
        <w:tc>
          <w:tcPr>
            <w:tcW w:type="dxa" w:w="4320"/>
          </w:tcPr>
          <w:p>
            <w:r>
              <w:t>2026-07-16</w:t>
            </w:r>
          </w:p>
        </w:tc>
        <w:tc>
          <w:tcPr>
            <w:tcW w:type="dxa" w:w="4320"/>
          </w:tcPr>
          <w:p>
            <w:r>
              <w:t>Draft tables built for all six field of science groupings.</w:t>
            </w:r>
          </w:p>
        </w:tc>
      </w:tr>
      <w:tr>
        <w:tc>
          <w:tcPr>
            <w:tcW w:type="dxa" w:w="4320"/>
          </w:tcPr>
          <w:p>
            <w:r>
              <w:t>2026-07-20</w:t>
            </w:r>
          </w:p>
        </w:tc>
        <w:tc>
          <w:tcPr>
            <w:tcW w:type="dxa" w:w="4320"/>
          </w:tcPr>
          <w:p>
            <w:r>
              <w:t>Internal QA found two double counted subawards, both corrected.</w:t>
            </w:r>
          </w:p>
        </w:tc>
      </w:tr>
      <w:tr>
        <w:tc>
          <w:tcPr>
            <w:tcW w:type="dxa" w:w="4320"/>
          </w:tcPr>
          <w:p>
            <w:r>
              <w:t>2026-07-22</w:t>
            </w:r>
          </w:p>
        </w:tc>
        <w:tc>
          <w:tcPr>
            <w:tcW w:type="dxa" w:w="4320"/>
          </w:tcPr>
          <w:p>
            <w:r>
              <w:t>Draft submission assembled and circulated to the research office.</w:t>
            </w:r>
          </w:p>
        </w:tc>
      </w:tr>
      <w:tr>
        <w:tc>
          <w:tcPr>
            <w:tcW w:type="dxa" w:w="4320"/>
          </w:tcPr>
          <w:p>
            <w:r>
              <w:t>2026-07-27</w:t>
            </w:r>
          </w:p>
        </w:tc>
        <w:tc>
          <w:tcPr>
            <w:tcW w:type="dxa" w:w="4320"/>
          </w:tcPr>
          <w:p>
            <w:r>
              <w:t>First review meeting held, two variance questions raised on subawards.</w:t>
            </w:r>
          </w:p>
        </w:tc>
      </w:tr>
      <w:tr>
        <w:tc>
          <w:tcPr>
            <w:tcW w:type="dxa" w:w="4320"/>
          </w:tcPr>
          <w:p>
            <w:r>
              <w:t>2026-07-28</w:t>
            </w:r>
          </w:p>
        </w:tc>
        <w:tc>
          <w:tcPr>
            <w:tcW w:type="dxa" w:w="4320"/>
          </w:tcPr>
          <w:p>
            <w:r>
              <w:t>Peer comparison slide added at the associate vice president request.</w:t>
            </w:r>
          </w:p>
        </w:tc>
      </w:tr>
      <w:tr>
        <w:tc>
          <w:tcPr>
            <w:tcW w:type="dxa" w:w="4320"/>
          </w:tcPr>
          <w:p>
            <w:r>
              <w:t>2026-07-29</w:t>
            </w:r>
          </w:p>
        </w:tc>
        <w:tc>
          <w:tcPr>
            <w:tcW w:type="dxa" w:w="4320"/>
          </w:tcPr>
          <w:p>
            <w:r>
              <w:t>Subaward variance traced to a timing difference, writing it up.</w:t>
            </w:r>
          </w:p>
        </w:tc>
      </w:tr>
    </w:tbl>
    <w:p/>
    <w:p>
      <w:pPr>
        <w:pStyle w:val="Heading1"/>
      </w:pPr>
      <w:r>
        <w:t>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Date</w:t>
            </w:r>
          </w:p>
        </w:tc>
        <w:tc>
          <w:tcPr>
            <w:tcW w:type="dxa" w:w="2880"/>
          </w:tcPr>
          <w:p>
            <w:r/>
            <w:r>
              <w:rPr>
                <w:b/>
              </w:rPr>
              <w:t>Decision</w:t>
            </w:r>
          </w:p>
        </w:tc>
        <w:tc>
          <w:tcPr>
            <w:tcW w:type="dxa" w:w="2880"/>
          </w:tcPr>
          <w:p>
            <w:r/>
            <w:r>
              <w:rPr>
                <w:b/>
              </w:rPr>
              <w:t>Rationale</w:t>
            </w:r>
          </w:p>
        </w:tc>
      </w:tr>
      <w:tr>
        <w:tc>
          <w:tcPr>
            <w:tcW w:type="dxa" w:w="2880"/>
          </w:tcPr>
          <w:p>
            <w:r>
              <w:t>2026-06-17</w:t>
            </w:r>
          </w:p>
        </w:tc>
        <w:tc>
          <w:tcPr>
            <w:tcW w:type="dxa" w:w="2880"/>
          </w:tcPr>
          <w:p>
            <w:r>
              <w:t>Use finance as the system of record, reconcile sponsored programs to it</w:t>
            </w:r>
          </w:p>
        </w:tc>
        <w:tc>
          <w:tcPr>
            <w:tcW w:type="dxa" w:w="2880"/>
          </w:tcPr>
          <w:p>
            <w:r>
              <w:t>Finance figures are what the audit will trace against</w:t>
            </w:r>
          </w:p>
        </w:tc>
      </w:tr>
      <w:tr>
        <w:tc>
          <w:tcPr>
            <w:tcW w:type="dxa" w:w="2880"/>
          </w:tcPr>
          <w:p>
            <w:r>
              <w:t>2026-06-25</w:t>
            </w:r>
          </w:p>
        </w:tc>
        <w:tc>
          <w:tcPr>
            <w:tcW w:type="dxa" w:w="2880"/>
          </w:tcPr>
          <w:p>
            <w:r>
              <w:t>Exclude cost share bookings from the reconciliation baseline</w:t>
            </w:r>
          </w:p>
        </w:tc>
        <w:tc>
          <w:tcPr>
            <w:tcW w:type="dxa" w:w="2880"/>
          </w:tcPr>
          <w:p>
            <w:r>
              <w:t>Cost share is reported separately and was inflating the apparent gap</w:t>
            </w:r>
          </w:p>
        </w:tc>
      </w:tr>
      <w:tr>
        <w:tc>
          <w:tcPr>
            <w:tcW w:type="dxa" w:w="2880"/>
          </w:tcPr>
          <w:p>
            <w:r>
              <w:t>2026-07-09</w:t>
            </w:r>
          </w:p>
        </w:tc>
        <w:tc>
          <w:tcPr>
            <w:tcW w:type="dxa" w:w="2880"/>
          </w:tcPr>
          <w:p>
            <w:r>
              <w:t>Restate the prior year for the clinical trials fund group change</w:t>
            </w:r>
          </w:p>
        </w:tc>
        <w:tc>
          <w:tcPr>
            <w:tcW w:type="dxa" w:w="2880"/>
          </w:tcPr>
          <w:p>
            <w:r>
              <w:t>A year over year comparison is meaningless if the grouping moved between them</w:t>
            </w:r>
          </w:p>
        </w:tc>
      </w:tr>
      <w:tr>
        <w:tc>
          <w:tcPr>
            <w:tcW w:type="dxa" w:w="2880"/>
          </w:tcPr>
          <w:p>
            <w:r>
              <w:t>2026-07-13</w:t>
            </w:r>
          </w:p>
        </w:tc>
        <w:tc>
          <w:tcPr>
            <w:tcW w:type="dxa" w:w="2880"/>
          </w:tcPr>
          <w:p>
            <w:r>
              <w:t>Fix the peer set at eleven institutions for this cycle</w:t>
            </w:r>
          </w:p>
        </w:tc>
        <w:tc>
          <w:tcPr>
            <w:tcW w:type="dxa" w:w="2880"/>
          </w:tcPr>
          <w:p>
            <w:r>
              <w:t>Leadership kept asking for different comparisons, freezing the set makes the trend defensible</w:t>
            </w:r>
          </w:p>
        </w:tc>
      </w:tr>
      <w:tr>
        <w:tc>
          <w:tcPr>
            <w:tcW w:type="dxa" w:w="2880"/>
          </w:tcPr>
          <w:p>
            <w:r>
              <w:t>2026-07-27</w:t>
            </w:r>
          </w:p>
        </w:tc>
        <w:tc>
          <w:tcPr>
            <w:tcW w:type="dxa" w:w="2880"/>
          </w:tcPr>
          <w:p>
            <w:r>
              <w:t>Report subaward timing differences as a footnote rather than restating</w:t>
            </w:r>
          </w:p>
        </w:tc>
        <w:tc>
          <w:tcPr>
            <w:tcW w:type="dxa" w:w="2880"/>
          </w:tcPr>
          <w:p>
            <w:r>
              <w:t>The difference is definitional and reverses next period</w:t>
            </w:r>
          </w:p>
        </w:tc>
      </w:tr>
    </w:tbl>
    <w:p/>
    <w:p>
      <w:pPr>
        <w:pStyle w:val="Heading1"/>
      </w:pPr>
      <w:r>
        <w:t>Links</w:t>
      </w:r>
    </w:p>
    <w:tbl>
      <w:tblPr>
        <w:tblStyle w:val="TableGrid"/>
        <w:tblW w:type="auto" w:w="0"/>
        <w:tblLook w:firstColumn="1" w:firstRow="1" w:lastColumn="0" w:lastRow="0" w:noHBand="0" w:noVBand="1" w:val="04A0"/>
      </w:tblPr>
      <w:tblGrid>
        <w:gridCol w:w="4320"/>
        <w:gridCol w:w="4320"/>
      </w:tblGrid>
      <w:tr>
        <w:tc>
          <w:tcPr>
            <w:tcW w:type="dxa" w:w="4320"/>
          </w:tcPr>
          <w:p>
            <w:r/>
            <w:r>
              <w:rPr>
                <w:b/>
              </w:rPr>
              <w:t>Resource</w:t>
            </w:r>
          </w:p>
        </w:tc>
        <w:tc>
          <w:tcPr>
            <w:tcW w:type="dxa" w:w="4320"/>
          </w:tcPr>
          <w:p>
            <w:r/>
            <w:r>
              <w:rPr>
                <w:b/>
              </w:rPr>
              <w:t>Location</w:t>
            </w:r>
          </w:p>
        </w:tc>
      </w:tr>
      <w:tr>
        <w:tc>
          <w:tcPr>
            <w:tcW w:type="dxa" w:w="4320"/>
          </w:tcPr>
          <w:p>
            <w:r>
              <w:t>Reconciliation workbook</w:t>
            </w:r>
          </w:p>
        </w:tc>
        <w:tc>
          <w:tcPr>
            <w:tcW w:type="dxa" w:w="4320"/>
          </w:tcPr>
          <w:p>
            <w:r>
              <w:t>Research Compliance / Expenditures / reconciliation</w:t>
            </w:r>
          </w:p>
        </w:tc>
      </w:tr>
      <w:tr>
        <w:tc>
          <w:tcPr>
            <w:tcW w:type="dxa" w:w="4320"/>
          </w:tcPr>
          <w:p>
            <w:r>
              <w:t>Field of science crosswalk</w:t>
            </w:r>
          </w:p>
        </w:tc>
        <w:tc>
          <w:tcPr>
            <w:tcW w:type="dxa" w:w="4320"/>
          </w:tcPr>
          <w:p>
            <w:r>
              <w:t>Research Compliance / Expenditures / crosswalk</w:t>
            </w:r>
          </w:p>
        </w:tc>
      </w:tr>
      <w:tr>
        <w:tc>
          <w:tcPr>
            <w:tcW w:type="dxa" w:w="4320"/>
          </w:tcPr>
          <w:p>
            <w:r>
              <w:t>Draft submission</w:t>
            </w:r>
          </w:p>
        </w:tc>
        <w:tc>
          <w:tcPr>
            <w:tcW w:type="dxa" w:w="4320"/>
          </w:tcPr>
          <w:p>
            <w:r>
              <w:t>Research Compliance / Expenditures / draft-submission</w:t>
            </w:r>
          </w:p>
        </w:tc>
      </w:tr>
      <w:tr>
        <w:tc>
          <w:tcPr>
            <w:tcW w:type="dxa" w:w="4320"/>
          </w:tcPr>
          <w:p>
            <w:r>
              <w:t>Peer comparison workbook</w:t>
            </w:r>
          </w:p>
        </w:tc>
        <w:tc>
          <w:tcPr>
            <w:tcW w:type="dxa" w:w="4320"/>
          </w:tcPr>
          <w:p>
            <w:r>
              <w:t>Research Compliance / Expenditures / peer-comparison</w:t>
            </w:r>
          </w:p>
        </w:tc>
      </w:tr>
      <w:tr>
        <w:tc>
          <w:tcPr>
            <w:tcW w:type="dxa" w:w="4320"/>
          </w:tcPr>
          <w:p>
            <w:r>
              <w:t>Prior year submission as filed</w:t>
            </w:r>
          </w:p>
        </w:tc>
        <w:tc>
          <w:tcPr>
            <w:tcW w:type="dxa" w:w="4320"/>
          </w:tcPr>
          <w:p>
            <w:r>
              <w:t>Research Compliance / Expenditures / prior-year-filed</w:t>
            </w:r>
          </w:p>
        </w:tc>
      </w:tr>
    </w:tbl>
    <w:p/>
    <w:p>
      <w:pPr>
        <w:pStyle w:val="Heading1"/>
      </w:pPr>
      <w:r>
        <w:t>Notes</w:t>
      </w:r>
    </w:p>
    <w:p>
      <w:r>
        <w:t>The subaward variance is a timing difference, not an error: finance books on invoice receipt and sponsored programs books on the award period.</w:t>
      </w:r>
    </w:p>
    <w:p>
      <w:r>
        <w:t>Peer comparison is the part leadership always asks about first, so it is worth having ready before the sign off meeting rather than after.</w:t>
      </w:r>
    </w:p>
    <w:p>
      <w:r>
        <w:t>Cost share is reported on its own line of the survey, so it has to stay out of the main reconciliation or the gap reads as roughly twice its real size.</w:t>
      </w:r>
    </w:p>
    <w:p>
      <w:r>
        <w:t>The peer set is frozen for this cycle. Requests to swap institutions mid cycle go to the next one, otherwise the trend stops being comparable to what was filed.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