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57709" w14:textId="36A268EF" w:rsidR="003E743B" w:rsidRDefault="003E743B" w:rsidP="0002433E">
      <w:pPr>
        <w:rPr>
          <w:b/>
          <w:bCs/>
        </w:rPr>
      </w:pPr>
      <w:r>
        <w:rPr>
          <w:b/>
          <w:bCs/>
        </w:rPr>
        <w:t>Leila Maria Ferreira Couto</w:t>
      </w:r>
    </w:p>
    <w:p w14:paraId="70B98478" w14:textId="77777777" w:rsidR="003E743B" w:rsidRDefault="003E743B" w:rsidP="0002433E">
      <w:pPr>
        <w:rPr>
          <w:b/>
          <w:bCs/>
        </w:rPr>
      </w:pPr>
    </w:p>
    <w:p w14:paraId="495BC333" w14:textId="580F2D9B" w:rsidR="00A94CF3" w:rsidRPr="00A94CF3" w:rsidRDefault="00A94CF3" w:rsidP="0002433E">
      <w:pPr>
        <w:rPr>
          <w:b/>
          <w:bCs/>
        </w:rPr>
      </w:pPr>
      <w:r w:rsidRPr="00A94CF3">
        <w:rPr>
          <w:b/>
          <w:bCs/>
        </w:rPr>
        <w:t>Atividade 1</w:t>
      </w:r>
      <w:r w:rsidR="003E743B">
        <w:rPr>
          <w:b/>
          <w:bCs/>
        </w:rPr>
        <w:t xml:space="preserve"> – Produção de textos</w:t>
      </w:r>
    </w:p>
    <w:p w14:paraId="5382AEF4" w14:textId="77777777" w:rsidR="00A94CF3" w:rsidRPr="00A94CF3" w:rsidRDefault="00A94CF3" w:rsidP="0002433E"/>
    <w:p w14:paraId="32C4FEFE" w14:textId="60B4FDA3" w:rsidR="00A94CF3" w:rsidRPr="00A94CF3" w:rsidRDefault="00EB431A" w:rsidP="0002433E">
      <w:r w:rsidRPr="00741AA9">
        <w:rPr>
          <w:b/>
          <w:bCs/>
        </w:rPr>
        <w:t>Título:</w:t>
      </w:r>
      <w:r>
        <w:t xml:space="preserve"> Evidências de validade baseadas na estrutura interna para a Escala de Vitalidade</w:t>
      </w:r>
    </w:p>
    <w:p w14:paraId="7216AB16" w14:textId="77777777" w:rsidR="008A4DF2" w:rsidRDefault="008A4DF2" w:rsidP="00DC3D18">
      <w:pPr>
        <w:spacing w:line="360" w:lineRule="auto"/>
        <w:ind w:firstLine="708"/>
        <w:jc w:val="both"/>
      </w:pPr>
    </w:p>
    <w:p w14:paraId="53708FED" w14:textId="7F5851BA" w:rsidR="00833102" w:rsidRDefault="00833102" w:rsidP="00DC3D18">
      <w:pPr>
        <w:spacing w:line="360" w:lineRule="auto"/>
        <w:ind w:firstLine="708"/>
        <w:jc w:val="both"/>
      </w:pPr>
      <w:r w:rsidRPr="00E01F7D">
        <w:t xml:space="preserve">A vitalidade, </w:t>
      </w:r>
      <w:r w:rsidR="007504A3" w:rsidRPr="00E01F7D">
        <w:t xml:space="preserve">caracterizada como </w:t>
      </w:r>
      <w:r w:rsidRPr="00E01F7D">
        <w:t xml:space="preserve">uma </w:t>
      </w:r>
      <w:r w:rsidR="001B1E7D" w:rsidRPr="00E01F7D">
        <w:t>percepção</w:t>
      </w:r>
      <w:r w:rsidRPr="00E01F7D">
        <w:t xml:space="preserve"> positiva de vivacidade, é </w:t>
      </w:r>
      <w:r w:rsidR="0080746C" w:rsidRPr="00E01F7D">
        <w:t>crucial</w:t>
      </w:r>
      <w:r w:rsidRPr="00E01F7D">
        <w:t xml:space="preserve"> para a saúde </w:t>
      </w:r>
      <w:r w:rsidR="00442654" w:rsidRPr="00E01F7D">
        <w:t>física e mental</w:t>
      </w:r>
      <w:r w:rsidRPr="00E01F7D">
        <w:t xml:space="preserve">, </w:t>
      </w:r>
      <w:r w:rsidR="008A6278">
        <w:t xml:space="preserve">para a </w:t>
      </w:r>
      <w:r w:rsidRPr="00E01F7D">
        <w:t>motivação e bem-estar</w:t>
      </w:r>
      <w:r w:rsidR="00E817EA" w:rsidRPr="00E01F7D">
        <w:t>,</w:t>
      </w:r>
      <w:r w:rsidR="00F41300" w:rsidRPr="00E01F7D">
        <w:t xml:space="preserve"> por </w:t>
      </w:r>
      <w:r w:rsidR="00E817EA" w:rsidRPr="00E01F7D">
        <w:t xml:space="preserve">ter relações com </w:t>
      </w:r>
      <w:r w:rsidRPr="00E01F7D">
        <w:t>fatores físicos e psicológicos (Ryan &amp; Deci, 2001</w:t>
      </w:r>
      <w:r w:rsidR="003E6E51">
        <w:t>;</w:t>
      </w:r>
      <w:r w:rsidR="00E817EA" w:rsidRPr="00E01F7D">
        <w:t xml:space="preserve"> 2008</w:t>
      </w:r>
      <w:r w:rsidRPr="00E01F7D">
        <w:t xml:space="preserve">). </w:t>
      </w:r>
      <w:r w:rsidR="00AB2B64" w:rsidRPr="00E01F7D">
        <w:t xml:space="preserve">Pela natureza subjetiva </w:t>
      </w:r>
      <w:r w:rsidR="00CF5F92" w:rsidRPr="00E01F7D">
        <w:t xml:space="preserve">do </w:t>
      </w:r>
      <w:r w:rsidR="0080746C" w:rsidRPr="00E01F7D">
        <w:t>construto</w:t>
      </w:r>
      <w:r w:rsidR="00CF5F92" w:rsidRPr="00E01F7D">
        <w:t xml:space="preserve">, </w:t>
      </w:r>
      <w:r w:rsidRPr="00E01F7D">
        <w:t xml:space="preserve">Ryan e Frederick (1997) </w:t>
      </w:r>
      <w:r w:rsidR="00B91592" w:rsidRPr="00E01F7D">
        <w:t xml:space="preserve">definiram-no como </w:t>
      </w:r>
      <w:r w:rsidRPr="00E01F7D">
        <w:t>vitalidade subjetiva</w:t>
      </w:r>
      <w:r w:rsidR="00B91592" w:rsidRPr="00E01F7D">
        <w:t xml:space="preserve">, ou seja, </w:t>
      </w:r>
      <w:r w:rsidR="00BC0FA6" w:rsidRPr="00E01F7D">
        <w:t>é a percepção</w:t>
      </w:r>
      <w:r w:rsidRPr="00E01F7D">
        <w:t xml:space="preserve"> subjetiv</w:t>
      </w:r>
      <w:r w:rsidR="00BC0FA6" w:rsidRPr="00E01F7D">
        <w:t>a</w:t>
      </w:r>
      <w:r w:rsidRPr="00E01F7D">
        <w:t xml:space="preserve"> de vi</w:t>
      </w:r>
      <w:r w:rsidR="00BC0FA6" w:rsidRPr="00E01F7D">
        <w:t>vacidade</w:t>
      </w:r>
      <w:r w:rsidRPr="00E01F7D">
        <w:t xml:space="preserve"> e energia disponível para o </w:t>
      </w:r>
      <w:r w:rsidR="009576AD" w:rsidRPr="00E01F7D">
        <w:t>indivíduo</w:t>
      </w:r>
      <w:r w:rsidR="00D101CF" w:rsidRPr="00E01F7D">
        <w:t xml:space="preserve"> desempenhar suas funções cotidianas</w:t>
      </w:r>
      <w:r w:rsidR="009576AD" w:rsidRPr="00E01F7D">
        <w:t xml:space="preserve">. </w:t>
      </w:r>
      <w:r w:rsidR="00852F8B" w:rsidRPr="00E01F7D">
        <w:t>A vitalidade também pode ser compreendida como uma força de caráter</w:t>
      </w:r>
      <w:r w:rsidR="00B66DF6" w:rsidRPr="00E01F7D">
        <w:t>, constituinte da virtude da coragem (Peterson &amp; Seligman, 2004). Dentro do modelo de 24 forças d</w:t>
      </w:r>
      <w:r w:rsidR="00C77EB4" w:rsidRPr="00E01F7D">
        <w:t>e</w:t>
      </w:r>
      <w:r w:rsidR="00B66DF6" w:rsidRPr="00E01F7D">
        <w:t xml:space="preserve"> caráter, dividido em seis dimensões ou virtudes, a vitalidade é definida como </w:t>
      </w:r>
      <w:r w:rsidR="00D36B8B" w:rsidRPr="00E01F7D">
        <w:t xml:space="preserve">a capacidade de </w:t>
      </w:r>
      <w:r w:rsidR="00E74A9C" w:rsidRPr="00E01F7D">
        <w:t>conduzir</w:t>
      </w:r>
      <w:r w:rsidR="00DC38EF" w:rsidRPr="00E01F7D">
        <w:t xml:space="preserve"> a vida com energia</w:t>
      </w:r>
      <w:r w:rsidR="007E0C74" w:rsidRPr="00E01F7D">
        <w:t xml:space="preserve"> e vigor,</w:t>
      </w:r>
      <w:r w:rsidR="005A2B77" w:rsidRPr="00E01F7D">
        <w:t xml:space="preserve"> de modo a realizar </w:t>
      </w:r>
      <w:r w:rsidR="006C530E" w:rsidRPr="00E01F7D">
        <w:t>as metas pessoais completamente</w:t>
      </w:r>
      <w:r w:rsidR="001F0A4E" w:rsidRPr="00E01F7D">
        <w:t>, sentindo-se disposto e ativo (</w:t>
      </w:r>
      <w:r w:rsidR="00B04A98">
        <w:t>Niemiec, 201</w:t>
      </w:r>
      <w:r w:rsidR="00E01F7D">
        <w:t>9</w:t>
      </w:r>
      <w:r w:rsidR="00B04A98">
        <w:t>)</w:t>
      </w:r>
      <w:r w:rsidR="00B66DF6" w:rsidRPr="00B66DF6">
        <w:t>.</w:t>
      </w:r>
      <w:r w:rsidR="001060F9">
        <w:t xml:space="preserve"> Deste modo, a</w:t>
      </w:r>
      <w:r w:rsidR="00654A41">
        <w:t xml:space="preserve">ferir a vitalidade </w:t>
      </w:r>
      <w:r w:rsidR="00A97893">
        <w:t xml:space="preserve">subjetiva </w:t>
      </w:r>
      <w:r w:rsidR="00954C56">
        <w:t>pode se</w:t>
      </w:r>
      <w:r w:rsidR="003E6E51">
        <w:t>r</w:t>
      </w:r>
      <w:r w:rsidR="00954C56">
        <w:t xml:space="preserve"> um indicador importante para a proposição de intervenções</w:t>
      </w:r>
      <w:r w:rsidR="004A18A5">
        <w:t>, gerando ganhos em saúde global às pessoas</w:t>
      </w:r>
      <w:r w:rsidR="000E3278">
        <w:t>. Para tanto</w:t>
      </w:r>
      <w:r w:rsidR="00E24F67">
        <w:t>, faz-se necessária a construção de instrumentos psicológicos que auxiliem n</w:t>
      </w:r>
      <w:r w:rsidR="00543382">
        <w:t>a</w:t>
      </w:r>
      <w:r w:rsidR="00E24F67">
        <w:t xml:space="preserve"> busca </w:t>
      </w:r>
      <w:r w:rsidR="00543382">
        <w:t>por</w:t>
      </w:r>
      <w:r w:rsidR="00E24F67">
        <w:t xml:space="preserve"> </w:t>
      </w:r>
      <w:r w:rsidR="00543382">
        <w:t>indicadores.</w:t>
      </w:r>
    </w:p>
    <w:p w14:paraId="2EE2F682" w14:textId="5A762BD6" w:rsidR="00B57149" w:rsidRDefault="00B57149" w:rsidP="00DC3D18">
      <w:pPr>
        <w:spacing w:line="360" w:lineRule="auto"/>
        <w:ind w:firstLine="708"/>
        <w:jc w:val="both"/>
      </w:pPr>
      <w:r>
        <w:t>A Escala de Vitalidade</w:t>
      </w:r>
      <w:r w:rsidR="00C81287">
        <w:t xml:space="preserve"> (EV)</w:t>
      </w:r>
      <w:r w:rsidR="00DC35DE">
        <w:t xml:space="preserve">, </w:t>
      </w:r>
      <w:r>
        <w:t>construída por Noronha et al. (2016)</w:t>
      </w:r>
      <w:r w:rsidR="00DC35DE">
        <w:t>,</w:t>
      </w:r>
      <w:r>
        <w:t xml:space="preserve"> apresent</w:t>
      </w:r>
      <w:r w:rsidR="00DC35DE">
        <w:t>ou</w:t>
      </w:r>
      <w:r>
        <w:t xml:space="preserve"> </w:t>
      </w:r>
      <w:r w:rsidR="00C62194">
        <w:t xml:space="preserve">estudos iniciais sobre as propriedades psicométricas </w:t>
      </w:r>
      <w:r w:rsidR="002755B5">
        <w:t>para a</w:t>
      </w:r>
      <w:r w:rsidR="00C62194">
        <w:t xml:space="preserve"> escala. Primeiramente</w:t>
      </w:r>
      <w:r w:rsidR="00D33C1F">
        <w:t>,</w:t>
      </w:r>
      <w:r w:rsidR="00C62194">
        <w:t xml:space="preserve"> </w:t>
      </w:r>
      <w:r w:rsidR="00BA5F99">
        <w:t>os autores apresentaram uma Análise de Componentes Principais</w:t>
      </w:r>
      <w:r w:rsidR="00EB2306">
        <w:t xml:space="preserve"> (ACP)</w:t>
      </w:r>
      <w:r w:rsidR="00D33C1F">
        <w:t xml:space="preserve">, a qual indicou uma estrutura unifatorial para a escala </w:t>
      </w:r>
      <w:r w:rsidR="00BA5F99">
        <w:t>e evidências de validade baseadas na relação com variáveis externas</w:t>
      </w:r>
      <w:r w:rsidR="00091AA5">
        <w:t>,</w:t>
      </w:r>
      <w:r w:rsidR="00BA5F99">
        <w:t xml:space="preserve"> apresenta</w:t>
      </w:r>
      <w:r w:rsidR="00F14878">
        <w:t>n</w:t>
      </w:r>
      <w:r w:rsidR="00BA5F99">
        <w:t xml:space="preserve">do </w:t>
      </w:r>
      <w:r w:rsidR="00345CA5">
        <w:t>validade convergente com otimismo</w:t>
      </w:r>
      <w:r w:rsidR="00D33C1F">
        <w:t xml:space="preserve">. </w:t>
      </w:r>
      <w:r w:rsidR="004958AD">
        <w:t xml:space="preserve">Um outro estudo foi conduzido utilizando-se a mesma escala </w:t>
      </w:r>
      <w:r w:rsidR="00F14878">
        <w:t>que</w:t>
      </w:r>
      <w:r w:rsidR="004D606B">
        <w:t xml:space="preserve"> buscou apresentar </w:t>
      </w:r>
      <w:r w:rsidR="006639F4">
        <w:t>evidências</w:t>
      </w:r>
      <w:r w:rsidR="004D606B">
        <w:t xml:space="preserve"> de validade em relação a variáveis externas com autorregulação emocional (</w:t>
      </w:r>
      <w:r w:rsidR="004A4A26" w:rsidRPr="004A4A26">
        <w:t>Cezar, 2020</w:t>
      </w:r>
      <w:r w:rsidR="004A4A26">
        <w:t>).</w:t>
      </w:r>
    </w:p>
    <w:p w14:paraId="648B67A7" w14:textId="5D553DB0" w:rsidR="00FA65DF" w:rsidRDefault="00FE6FB4" w:rsidP="00DC3D18">
      <w:pPr>
        <w:spacing w:line="360" w:lineRule="auto"/>
        <w:ind w:firstLine="708"/>
        <w:jc w:val="both"/>
      </w:pPr>
      <w:r>
        <w:t>No entanto</w:t>
      </w:r>
      <w:r w:rsidR="009C674A">
        <w:t>,</w:t>
      </w:r>
      <w:r>
        <w:t xml:space="preserve"> não foram conduzidas análises fatoriais as quais pudessem indicar os índices de ajuste do modelo unifatorial </w:t>
      </w:r>
      <w:r w:rsidR="004C6981">
        <w:t xml:space="preserve">ou que houvesse testado outros modelos buscando a estrutura fatorial que melhor explicasse os dados </w:t>
      </w:r>
      <w:r w:rsidR="00714280">
        <w:t xml:space="preserve">mensurados pela escala em questão. </w:t>
      </w:r>
      <w:r w:rsidR="00DE0A43">
        <w:t>Desta forma, faz-se necessário conduzir novos estudos em relação às evidências de validade baseadas na estrutura interna para a Escala de Vitalidade</w:t>
      </w:r>
      <w:r w:rsidR="00086213">
        <w:t xml:space="preserve"> (EV)</w:t>
      </w:r>
      <w:r w:rsidR="007D1D17">
        <w:t>, pois argumenta-se que a análise conduzida</w:t>
      </w:r>
      <w:r w:rsidR="00EB2306">
        <w:t xml:space="preserve"> (ACP)</w:t>
      </w:r>
      <w:r w:rsidR="007D1D17">
        <w:t xml:space="preserve"> não </w:t>
      </w:r>
      <w:r w:rsidR="00C5421A">
        <w:t xml:space="preserve">seja </w:t>
      </w:r>
      <w:r w:rsidR="00317701">
        <w:t xml:space="preserve">o tipo de análise fatorial </w:t>
      </w:r>
      <w:r w:rsidR="00C5421A">
        <w:t>mais adequad</w:t>
      </w:r>
      <w:r w:rsidR="00695C55">
        <w:t>o</w:t>
      </w:r>
      <w:r w:rsidR="00C5421A">
        <w:t xml:space="preserve"> para construto</w:t>
      </w:r>
      <w:r w:rsidR="00317701">
        <w:t>s</w:t>
      </w:r>
      <w:r w:rsidR="00C5421A">
        <w:t xml:space="preserve"> psicológicos</w:t>
      </w:r>
      <w:r w:rsidR="00317701">
        <w:t xml:space="preserve">. </w:t>
      </w:r>
    </w:p>
    <w:p w14:paraId="5CE4ABA4" w14:textId="7270CF5E" w:rsidR="007D1D17" w:rsidRDefault="00317701" w:rsidP="00DC3D18">
      <w:pPr>
        <w:spacing w:line="360" w:lineRule="auto"/>
        <w:ind w:firstLine="708"/>
        <w:jc w:val="both"/>
      </w:pPr>
      <w:r>
        <w:lastRenderedPageBreak/>
        <w:t xml:space="preserve">Portanto, </w:t>
      </w:r>
      <w:r w:rsidR="001A7D4D">
        <w:t xml:space="preserve">a partir do exposto, qual a estrutura fatorial da Escala de Vitalidade (EV)? Nesse sentido, </w:t>
      </w:r>
      <w:r>
        <w:t xml:space="preserve">este trabalho visa </w:t>
      </w:r>
      <w:r w:rsidR="00F04163">
        <w:t>contribui</w:t>
      </w:r>
      <w:r w:rsidR="004605BC">
        <w:t>r para o acúmulo</w:t>
      </w:r>
      <w:r w:rsidR="00F04163">
        <w:t xml:space="preserve"> de evid</w:t>
      </w:r>
      <w:r w:rsidR="004605BC">
        <w:t>ê</w:t>
      </w:r>
      <w:r w:rsidR="00F04163">
        <w:t>ncias de validade baseadas na estrutura interna para a Escala de Vitalidade</w:t>
      </w:r>
      <w:r w:rsidR="00086213">
        <w:t xml:space="preserve"> (EV)</w:t>
      </w:r>
      <w:r w:rsidR="004605BC">
        <w:t xml:space="preserve"> a partir </w:t>
      </w:r>
      <w:r w:rsidR="00692F12">
        <w:t>de Análise Fatorial Exploratória</w:t>
      </w:r>
      <w:r w:rsidR="00D115AD">
        <w:t xml:space="preserve"> (AFE)</w:t>
      </w:r>
      <w:r w:rsidR="00692F12">
        <w:t xml:space="preserve"> </w:t>
      </w:r>
      <w:r w:rsidR="00877AFB">
        <w:t>e Análise Fatorial Confirmatória</w:t>
      </w:r>
      <w:r w:rsidR="00D115AD">
        <w:t xml:space="preserve"> (AFC)</w:t>
      </w:r>
      <w:r w:rsidR="00692F12">
        <w:t xml:space="preserve">. </w:t>
      </w:r>
      <w:r w:rsidR="006D7854">
        <w:t>Ser</w:t>
      </w:r>
      <w:r w:rsidR="00095F26">
        <w:t>á</w:t>
      </w:r>
      <w:r w:rsidR="006D7854">
        <w:t xml:space="preserve"> testado o modelo unifatorial, buscando </w:t>
      </w:r>
      <w:r w:rsidR="001715F9">
        <w:t>confirmar o achado anterior, porém</w:t>
      </w:r>
      <w:r w:rsidR="00095F26">
        <w:t>,</w:t>
      </w:r>
      <w:r w:rsidR="001715F9">
        <w:t xml:space="preserve"> outros modelos serão testados na busca pel</w:t>
      </w:r>
      <w:r w:rsidR="00095F26">
        <w:t>o que melhor venha explicar os dados.</w:t>
      </w:r>
      <w:r w:rsidR="0040680E">
        <w:t xml:space="preserve"> Além disso</w:t>
      </w:r>
      <w:r w:rsidR="00111B17">
        <w:t>,</w:t>
      </w:r>
      <w:r w:rsidR="0040680E">
        <w:t xml:space="preserve"> serão apresentados os coeficientes de fidedignidade para a escala como o alfa de Cronbach, ômega de McDonald e a confiabilidade composta (CC).</w:t>
      </w:r>
    </w:p>
    <w:p w14:paraId="3926E2D9" w14:textId="77777777" w:rsidR="00EA3B04" w:rsidRDefault="00EA3B04" w:rsidP="00DC3D18">
      <w:pPr>
        <w:spacing w:line="360" w:lineRule="auto"/>
        <w:ind w:firstLine="708"/>
        <w:jc w:val="both"/>
      </w:pPr>
    </w:p>
    <w:p w14:paraId="1D7FC3C3" w14:textId="602AD216" w:rsidR="00F43EE6" w:rsidRPr="008F6280" w:rsidRDefault="001A7D4D" w:rsidP="008F6280">
      <w:pPr>
        <w:spacing w:line="360" w:lineRule="auto"/>
        <w:jc w:val="both"/>
        <w:rPr>
          <w:b/>
          <w:bCs/>
        </w:rPr>
      </w:pPr>
      <w:r w:rsidRPr="008F6280">
        <w:rPr>
          <w:b/>
          <w:bCs/>
        </w:rPr>
        <w:t>Referências</w:t>
      </w:r>
    </w:p>
    <w:p w14:paraId="3D74BBF6" w14:textId="77777777" w:rsidR="00C246E6" w:rsidRDefault="00C246E6" w:rsidP="00C246E6">
      <w:pPr>
        <w:spacing w:line="360" w:lineRule="auto"/>
        <w:ind w:left="709" w:hanging="709"/>
        <w:jc w:val="both"/>
      </w:pPr>
      <w:r w:rsidRPr="008703F9">
        <w:t xml:space="preserve">Cezar, E. O. (2020). </w:t>
      </w:r>
      <w:r w:rsidRPr="007B45A6">
        <w:rPr>
          <w:i/>
          <w:iCs/>
        </w:rPr>
        <w:t>Vitalidade e autorregulação emocional em praticantes e não praticantes de atividades físicas e/ou meditativas</w:t>
      </w:r>
      <w:r w:rsidRPr="008703F9">
        <w:t>. Projeto de dissertação de Mestrado, Programa de Pós-Graduação Stricto Sensu em Psicologia, Universidade São Francisco, Itatiba.</w:t>
      </w:r>
    </w:p>
    <w:p w14:paraId="207BD240" w14:textId="77777777" w:rsidR="00E427D1" w:rsidRPr="00EF5001" w:rsidRDefault="00E427D1" w:rsidP="00E427D1">
      <w:pPr>
        <w:spacing w:line="360" w:lineRule="auto"/>
        <w:ind w:left="709" w:hanging="709"/>
        <w:jc w:val="both"/>
      </w:pPr>
      <w:r w:rsidRPr="00E427D1">
        <w:t xml:space="preserve">Niemiec, R. M. (2019). </w:t>
      </w:r>
      <w:r w:rsidRPr="00153FB6">
        <w:rPr>
          <w:i/>
          <w:iCs/>
        </w:rPr>
        <w:t>Intervenções em forças de caráter: um guia de campo para praticantes</w:t>
      </w:r>
      <w:r>
        <w:t>. 4ª ed. Hogrefe.</w:t>
      </w:r>
    </w:p>
    <w:p w14:paraId="32DD6314" w14:textId="5ECBE08C" w:rsidR="00153E95" w:rsidRDefault="00EA3B04" w:rsidP="00DC3D18">
      <w:pPr>
        <w:spacing w:line="360" w:lineRule="auto"/>
        <w:ind w:left="709" w:hanging="709"/>
        <w:jc w:val="both"/>
      </w:pPr>
      <w:r w:rsidRPr="00EA3B04">
        <w:t xml:space="preserve">Noronha, A. P. P., Martins, D. F., Alves, B. P., Silva, E. N., &amp; Batista, H. H. V. (2016). Evidências de validade para a Escala de Vitalidade. </w:t>
      </w:r>
      <w:r w:rsidRPr="00EA3B04">
        <w:rPr>
          <w:i/>
          <w:iCs/>
        </w:rPr>
        <w:t>Arquivos Brasileiros de Psicologia, 68</w:t>
      </w:r>
      <w:r w:rsidRPr="00EA3B04">
        <w:t xml:space="preserve">(3), 32-42. </w:t>
      </w:r>
      <w:r w:rsidR="00153E95" w:rsidRPr="00153E95">
        <w:t xml:space="preserve">Recuperado em 27 de agosto de 2022, de </w:t>
      </w:r>
      <w:hyperlink r:id="rId4" w:history="1">
        <w:r w:rsidR="008703F9" w:rsidRPr="00FF6295">
          <w:rPr>
            <w:rStyle w:val="Hyperlink"/>
          </w:rPr>
          <w:t>http://pepsic.bvsalud.org/scielo.php?script=sci_arttext&amp;pid=S1809-52672016000300004&amp;lng=pt&amp;tlng=pt</w:t>
        </w:r>
      </w:hyperlink>
      <w:r w:rsidR="00153E95" w:rsidRPr="00153E95">
        <w:t>.</w:t>
      </w:r>
    </w:p>
    <w:p w14:paraId="0E5EBB48" w14:textId="06DA7696" w:rsidR="008703F9" w:rsidRDefault="00BF369C" w:rsidP="00BF369C">
      <w:pPr>
        <w:spacing w:line="360" w:lineRule="auto"/>
        <w:ind w:left="709" w:hanging="709"/>
        <w:jc w:val="both"/>
        <w:rPr>
          <w:lang w:val="en-US"/>
        </w:rPr>
      </w:pPr>
      <w:r w:rsidRPr="00EF5001">
        <w:rPr>
          <w:lang w:val="en-US"/>
        </w:rPr>
        <w:t xml:space="preserve">Peterson, C., &amp; Seligman, M. E. P. (2004). </w:t>
      </w:r>
      <w:r w:rsidRPr="00BF369C">
        <w:rPr>
          <w:i/>
          <w:iCs/>
          <w:lang w:val="en-US"/>
        </w:rPr>
        <w:t>Character strengths and virtues: A handbook and classification</w:t>
      </w:r>
      <w:r w:rsidRPr="00BF369C">
        <w:rPr>
          <w:lang w:val="en-US"/>
        </w:rPr>
        <w:t>. American Psychological Association.</w:t>
      </w:r>
    </w:p>
    <w:p w14:paraId="21931683" w14:textId="2F26F5A9" w:rsidR="007B54C5" w:rsidRDefault="00357B02" w:rsidP="00BF369C">
      <w:pPr>
        <w:spacing w:line="360" w:lineRule="auto"/>
        <w:ind w:left="709" w:hanging="709"/>
        <w:jc w:val="both"/>
        <w:rPr>
          <w:lang w:val="en-US"/>
        </w:rPr>
      </w:pPr>
      <w:r w:rsidRPr="008F6280">
        <w:rPr>
          <w:lang w:val="en-US"/>
        </w:rPr>
        <w:t xml:space="preserve">Ryan, R. M., &amp; Deci, E. L. (2001). </w:t>
      </w:r>
      <w:r w:rsidRPr="00357B02">
        <w:rPr>
          <w:lang w:val="en-US"/>
        </w:rPr>
        <w:t xml:space="preserve">On happiness and human potentials: A review of research on hedonic and eudaimonic well-being. Annual Review of Psychology, 52, 141–166. </w:t>
      </w:r>
      <w:hyperlink r:id="rId5" w:history="1">
        <w:r w:rsidRPr="00FF6295">
          <w:rPr>
            <w:rStyle w:val="Hyperlink"/>
            <w:lang w:val="en-US"/>
          </w:rPr>
          <w:t>https://doi.org/10.1146/annurev.psych.52.1.141</w:t>
        </w:r>
      </w:hyperlink>
    </w:p>
    <w:p w14:paraId="2C74FF9D" w14:textId="24D0FF50" w:rsidR="00357B02" w:rsidRDefault="00101BBA" w:rsidP="00BF369C">
      <w:pPr>
        <w:spacing w:line="360" w:lineRule="auto"/>
        <w:ind w:left="709" w:hanging="709"/>
        <w:jc w:val="both"/>
        <w:rPr>
          <w:lang w:val="en-US"/>
        </w:rPr>
      </w:pPr>
      <w:r w:rsidRPr="00101BBA">
        <w:rPr>
          <w:lang w:val="en-US"/>
        </w:rPr>
        <w:t xml:space="preserve">Ryan, R. M., &amp; Deci, E. L. (2008). From ego depletion to vitality: Theory and findings concerning the facilitation of energy available to the self. Social and Personality Psychology Compass, 2(2), 702–717. </w:t>
      </w:r>
      <w:hyperlink r:id="rId6" w:history="1">
        <w:r w:rsidRPr="00FF6295">
          <w:rPr>
            <w:rStyle w:val="Hyperlink"/>
            <w:lang w:val="en-US"/>
          </w:rPr>
          <w:t>https://doi.org/10.1111/j.1751-9004.2008.00098.x</w:t>
        </w:r>
      </w:hyperlink>
    </w:p>
    <w:p w14:paraId="080BC375" w14:textId="1800A860" w:rsidR="00033E9C" w:rsidRDefault="00033E9C" w:rsidP="00BF369C">
      <w:pPr>
        <w:spacing w:line="360" w:lineRule="auto"/>
        <w:ind w:left="709" w:hanging="709"/>
        <w:jc w:val="both"/>
        <w:rPr>
          <w:lang w:val="en-US"/>
        </w:rPr>
      </w:pPr>
      <w:r w:rsidRPr="00033E9C">
        <w:rPr>
          <w:lang w:val="en-US"/>
        </w:rPr>
        <w:t xml:space="preserve">Ryan, R. M., &amp; Frederick, C. (1997). On energy, personality, and health: Subjective vitality as a dynamic reflection of well-being. Journal of Personality, 65(3), 529–565. </w:t>
      </w:r>
      <w:hyperlink r:id="rId7" w:history="1">
        <w:r w:rsidRPr="00FF6295">
          <w:rPr>
            <w:rStyle w:val="Hyperlink"/>
            <w:lang w:val="en-US"/>
          </w:rPr>
          <w:t>https://doi.org/10.1111/j.1467-6494.1997.tb00326.x</w:t>
        </w:r>
      </w:hyperlink>
    </w:p>
    <w:sectPr w:rsidR="00033E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B55"/>
    <w:rsid w:val="0002433E"/>
    <w:rsid w:val="00024C54"/>
    <w:rsid w:val="00033E9C"/>
    <w:rsid w:val="00070B65"/>
    <w:rsid w:val="00082525"/>
    <w:rsid w:val="00086213"/>
    <w:rsid w:val="00091AA5"/>
    <w:rsid w:val="00095F26"/>
    <w:rsid w:val="000E3278"/>
    <w:rsid w:val="000F67BB"/>
    <w:rsid w:val="00101234"/>
    <w:rsid w:val="00101BBA"/>
    <w:rsid w:val="001060F9"/>
    <w:rsid w:val="00111B17"/>
    <w:rsid w:val="001506CA"/>
    <w:rsid w:val="00153E95"/>
    <w:rsid w:val="00153FB6"/>
    <w:rsid w:val="001715F9"/>
    <w:rsid w:val="001920AF"/>
    <w:rsid w:val="001A17A3"/>
    <w:rsid w:val="001A7D4D"/>
    <w:rsid w:val="001B1E7D"/>
    <w:rsid w:val="001C5962"/>
    <w:rsid w:val="001F0A4E"/>
    <w:rsid w:val="0022276B"/>
    <w:rsid w:val="002755B5"/>
    <w:rsid w:val="00317701"/>
    <w:rsid w:val="00335AA5"/>
    <w:rsid w:val="00345CA5"/>
    <w:rsid w:val="0034717C"/>
    <w:rsid w:val="00357B02"/>
    <w:rsid w:val="003C50FF"/>
    <w:rsid w:val="003E6E51"/>
    <w:rsid w:val="003E743B"/>
    <w:rsid w:val="0040680E"/>
    <w:rsid w:val="00442654"/>
    <w:rsid w:val="004605BC"/>
    <w:rsid w:val="00464486"/>
    <w:rsid w:val="00485A90"/>
    <w:rsid w:val="004958AD"/>
    <w:rsid w:val="004A18A5"/>
    <w:rsid w:val="004A4A26"/>
    <w:rsid w:val="004C6981"/>
    <w:rsid w:val="004D606B"/>
    <w:rsid w:val="004E408F"/>
    <w:rsid w:val="004E6473"/>
    <w:rsid w:val="00543382"/>
    <w:rsid w:val="005A2B77"/>
    <w:rsid w:val="005C3212"/>
    <w:rsid w:val="006226C3"/>
    <w:rsid w:val="00651B19"/>
    <w:rsid w:val="00654A41"/>
    <w:rsid w:val="006639F4"/>
    <w:rsid w:val="006778C3"/>
    <w:rsid w:val="00692F12"/>
    <w:rsid w:val="00695C55"/>
    <w:rsid w:val="006C530E"/>
    <w:rsid w:val="006D2A15"/>
    <w:rsid w:val="006D7854"/>
    <w:rsid w:val="006E60CD"/>
    <w:rsid w:val="00714280"/>
    <w:rsid w:val="00741AA9"/>
    <w:rsid w:val="007504A3"/>
    <w:rsid w:val="007A6B55"/>
    <w:rsid w:val="007B45A6"/>
    <w:rsid w:val="007B54C5"/>
    <w:rsid w:val="007D1D17"/>
    <w:rsid w:val="007E0C74"/>
    <w:rsid w:val="0080746C"/>
    <w:rsid w:val="0081779A"/>
    <w:rsid w:val="008242A3"/>
    <w:rsid w:val="00833102"/>
    <w:rsid w:val="00846AA7"/>
    <w:rsid w:val="00852F8B"/>
    <w:rsid w:val="008703F9"/>
    <w:rsid w:val="00877AFB"/>
    <w:rsid w:val="00885A03"/>
    <w:rsid w:val="008930E3"/>
    <w:rsid w:val="008A4DF2"/>
    <w:rsid w:val="008A6278"/>
    <w:rsid w:val="008F6280"/>
    <w:rsid w:val="00954C56"/>
    <w:rsid w:val="009576AD"/>
    <w:rsid w:val="009C674A"/>
    <w:rsid w:val="009D2358"/>
    <w:rsid w:val="00A25818"/>
    <w:rsid w:val="00A80B97"/>
    <w:rsid w:val="00A94CF3"/>
    <w:rsid w:val="00A97893"/>
    <w:rsid w:val="00AA0CA4"/>
    <w:rsid w:val="00AB2B64"/>
    <w:rsid w:val="00B04A98"/>
    <w:rsid w:val="00B57149"/>
    <w:rsid w:val="00B66DF6"/>
    <w:rsid w:val="00B85D0A"/>
    <w:rsid w:val="00B91592"/>
    <w:rsid w:val="00BA5F99"/>
    <w:rsid w:val="00BC0FA6"/>
    <w:rsid w:val="00BF369C"/>
    <w:rsid w:val="00C246E6"/>
    <w:rsid w:val="00C5421A"/>
    <w:rsid w:val="00C62194"/>
    <w:rsid w:val="00C715F4"/>
    <w:rsid w:val="00C77EB4"/>
    <w:rsid w:val="00C81287"/>
    <w:rsid w:val="00CE51B6"/>
    <w:rsid w:val="00CF40E4"/>
    <w:rsid w:val="00CF5F92"/>
    <w:rsid w:val="00D101CF"/>
    <w:rsid w:val="00D115AD"/>
    <w:rsid w:val="00D33C1F"/>
    <w:rsid w:val="00D36B8B"/>
    <w:rsid w:val="00DC35DE"/>
    <w:rsid w:val="00DC38EF"/>
    <w:rsid w:val="00DC3D18"/>
    <w:rsid w:val="00DE0A43"/>
    <w:rsid w:val="00E01F7D"/>
    <w:rsid w:val="00E14FB0"/>
    <w:rsid w:val="00E24F67"/>
    <w:rsid w:val="00E427D1"/>
    <w:rsid w:val="00E74A9C"/>
    <w:rsid w:val="00E76A43"/>
    <w:rsid w:val="00E817EA"/>
    <w:rsid w:val="00E90132"/>
    <w:rsid w:val="00EA32C8"/>
    <w:rsid w:val="00EA3B04"/>
    <w:rsid w:val="00EB2306"/>
    <w:rsid w:val="00EB431A"/>
    <w:rsid w:val="00EF5001"/>
    <w:rsid w:val="00F04163"/>
    <w:rsid w:val="00F14878"/>
    <w:rsid w:val="00F41300"/>
    <w:rsid w:val="00F43EE6"/>
    <w:rsid w:val="00FA65DF"/>
    <w:rsid w:val="00FB5A17"/>
    <w:rsid w:val="00FE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A5E44"/>
  <w15:chartTrackingRefBased/>
  <w15:docId w15:val="{F49D7A81-5B0F-4A1A-AAA8-23772E6F5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B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703F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03F9"/>
    <w:rPr>
      <w:color w:val="605E5C"/>
      <w:shd w:val="clear" w:color="auto" w:fill="E1DFDD"/>
    </w:rPr>
  </w:style>
  <w:style w:type="paragraph" w:styleId="Reviso">
    <w:name w:val="Revision"/>
    <w:hidden/>
    <w:uiPriority w:val="99"/>
    <w:semiHidden/>
    <w:rsid w:val="003E6E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1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111/j.1467-6494.1997.tb00326.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111/j.1751-9004.2008.00098.x" TargetMode="External"/><Relationship Id="rId5" Type="http://schemas.openxmlformats.org/officeDocument/2006/relationships/hyperlink" Target="https://doi.org/10.1146/annurev.psych.52.1.141" TargetMode="External"/><Relationship Id="rId4" Type="http://schemas.openxmlformats.org/officeDocument/2006/relationships/hyperlink" Target="http://pepsic.bvsalud.org/scielo.php?script=sci_arttext&amp;pid=S1809-52672016000300004&amp;lng=pt&amp;tlng=p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762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Couto</dc:creator>
  <cp:keywords/>
  <dc:description/>
  <cp:lastModifiedBy>Leila Couto</cp:lastModifiedBy>
  <cp:revision>7</cp:revision>
  <dcterms:created xsi:type="dcterms:W3CDTF">2022-09-05T16:45:00Z</dcterms:created>
  <dcterms:modified xsi:type="dcterms:W3CDTF">2022-09-05T16:49:00Z</dcterms:modified>
</cp:coreProperties>
</file>