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D818" w14:textId="77777777" w:rsidR="00C04BA6" w:rsidRDefault="00C04BA6" w:rsidP="00C04BA6">
      <w:r w:rsidRPr="00C04BA6">
        <w:rPr>
          <w:b/>
        </w:rPr>
        <w:t>Nome</w:t>
      </w:r>
      <w:r>
        <w:t xml:space="preserve">: Luciana Martins de Souza C. Guimarães              </w:t>
      </w:r>
      <w:r w:rsidRPr="00C04BA6">
        <w:rPr>
          <w:b/>
        </w:rPr>
        <w:t>Data</w:t>
      </w:r>
      <w:r>
        <w:rPr>
          <w:b/>
        </w:rPr>
        <w:t xml:space="preserve"> de entrega</w:t>
      </w:r>
      <w:r>
        <w:t>: 06/09/2022</w:t>
      </w:r>
    </w:p>
    <w:p w14:paraId="295AF905" w14:textId="77777777" w:rsidR="00944509" w:rsidRDefault="00944509" w:rsidP="00C04BA6"/>
    <w:p w14:paraId="221008AA" w14:textId="77777777" w:rsidR="00D54684" w:rsidRDefault="00944509" w:rsidP="001E3638">
      <w:r w:rsidRPr="00944509">
        <w:rPr>
          <w:b/>
        </w:rPr>
        <w:t>Disciplina</w:t>
      </w:r>
      <w:r>
        <w:t xml:space="preserve">: Produção de textos I - Prof. Dr. Ricardo Primi. </w:t>
      </w:r>
    </w:p>
    <w:p w14:paraId="3098FF87" w14:textId="77777777" w:rsidR="00944509" w:rsidRPr="00944509" w:rsidRDefault="00944509" w:rsidP="001E3638">
      <w:pPr>
        <w:rPr>
          <w:b/>
        </w:rPr>
      </w:pPr>
      <w:r w:rsidRPr="00944509">
        <w:rPr>
          <w:b/>
        </w:rPr>
        <w:t xml:space="preserve">Atividade 1: </w:t>
      </w:r>
      <w:r w:rsidR="00784FB9">
        <w:rPr>
          <w:b/>
        </w:rPr>
        <w:t>Definição do p</w:t>
      </w:r>
      <w:r>
        <w:rPr>
          <w:b/>
        </w:rPr>
        <w:t xml:space="preserve">roblema de pesquisa. </w:t>
      </w:r>
    </w:p>
    <w:p w14:paraId="2F37FE19" w14:textId="6C161325" w:rsidR="00597B98" w:rsidRPr="004E6BD0" w:rsidRDefault="00E007ED" w:rsidP="0076728F">
      <w:pPr>
        <w:jc w:val="both"/>
        <w:rPr>
          <w:i/>
        </w:rPr>
      </w:pPr>
      <w:r>
        <w:tab/>
        <w:t>A evasão</w:t>
      </w:r>
      <w:r w:rsidR="006812F7">
        <w:t xml:space="preserve"> do ensino superior</w:t>
      </w:r>
      <w:r>
        <w:t xml:space="preserve"> tem sido uma preocupação recorrente em </w:t>
      </w:r>
      <w:r w:rsidR="006812F7">
        <w:t xml:space="preserve">pesquisas que buscam entender seus determinantes e desenvolver propostas de intervenção </w:t>
      </w:r>
      <w:r w:rsidR="001015A7">
        <w:t>p</w:t>
      </w:r>
      <w:r w:rsidR="00DF28F1">
        <w:t xml:space="preserve">ara seu combate </w:t>
      </w:r>
      <w:r w:rsidR="006812F7">
        <w:t>(Silveira, 2017)</w:t>
      </w:r>
      <w:r>
        <w:t>.</w:t>
      </w:r>
      <w:r w:rsidR="006812F7">
        <w:t xml:space="preserve"> Trata-se também da preocupação de muitos governos ao redor do </w:t>
      </w:r>
      <w:r w:rsidR="00B41774">
        <w:t>mundo, uma vez que a formação de</w:t>
      </w:r>
      <w:r w:rsidR="006812F7">
        <w:t xml:space="preserve"> nível superior da população está relacionada à melhoria da estabilidad</w:t>
      </w:r>
      <w:r w:rsidR="00DF28F1">
        <w:t>e econômica e qualidade de vida</w:t>
      </w:r>
      <w:r w:rsidR="007D4FEA">
        <w:t xml:space="preserve"> </w:t>
      </w:r>
      <w:r w:rsidR="00B41774">
        <w:t xml:space="preserve">de seus habitantes </w:t>
      </w:r>
      <w:r w:rsidR="007D4FEA">
        <w:t>(Barroso, et al, 2022)</w:t>
      </w:r>
      <w:r w:rsidR="006812F7">
        <w:t xml:space="preserve">. </w:t>
      </w:r>
      <w:r w:rsidR="001015A7">
        <w:t>Com vistas</w:t>
      </w:r>
      <w:r w:rsidR="00597B98">
        <w:t xml:space="preserve"> a contribuir para essa </w:t>
      </w:r>
      <w:r w:rsidR="007D4FEA">
        <w:t>importante</w:t>
      </w:r>
      <w:r w:rsidR="00597B98">
        <w:t xml:space="preserve"> questão, o presente artigo </w:t>
      </w:r>
      <w:r w:rsidR="007D4FEA" w:rsidRPr="00DB1F93">
        <w:rPr>
          <w:highlight w:val="yellow"/>
        </w:rPr>
        <w:t>apresenta</w:t>
      </w:r>
      <w:r w:rsidR="00597B98" w:rsidRPr="00DB1F93">
        <w:rPr>
          <w:highlight w:val="yellow"/>
        </w:rPr>
        <w:t xml:space="preserve"> c</w:t>
      </w:r>
      <w:r w:rsidR="00597B98">
        <w:t>onstrutos da psicologia</w:t>
      </w:r>
      <w:r w:rsidR="00E3326F">
        <w:t xml:space="preserve"> positiva </w:t>
      </w:r>
      <w:r w:rsidR="00D8556B">
        <w:t xml:space="preserve">que estão associados ao alcance de metas </w:t>
      </w:r>
      <w:r w:rsidR="00597B98">
        <w:t>e sucesso acadêmicos</w:t>
      </w:r>
      <w:r w:rsidR="00D8556B">
        <w:t>, discutindo</w:t>
      </w:r>
      <w:r w:rsidR="007D4FEA">
        <w:t xml:space="preserve"> possíveis relações</w:t>
      </w:r>
      <w:r w:rsidR="00013580">
        <w:t xml:space="preserve"> entre eles, buscando responder </w:t>
      </w:r>
      <w:r w:rsidR="00013580" w:rsidRPr="00DB1F93">
        <w:rPr>
          <w:i/>
          <w:highlight w:val="yellow"/>
        </w:rPr>
        <w:t xml:space="preserve">de que forma garra, </w:t>
      </w:r>
      <w:proofErr w:type="spellStart"/>
      <w:r w:rsidR="00013580" w:rsidRPr="00DB1F93">
        <w:rPr>
          <w:i/>
          <w:highlight w:val="yellow"/>
        </w:rPr>
        <w:t>coping</w:t>
      </w:r>
      <w:proofErr w:type="spellEnd"/>
      <w:r w:rsidR="00013580" w:rsidRPr="00DB1F93">
        <w:rPr>
          <w:i/>
          <w:highlight w:val="yellow"/>
        </w:rPr>
        <w:t xml:space="preserve"> e satisfação com a vida </w:t>
      </w:r>
      <w:r w:rsidR="00D8556B" w:rsidRPr="00DB1F93">
        <w:rPr>
          <w:i/>
          <w:highlight w:val="yellow"/>
        </w:rPr>
        <w:t>contribuem para uma melhor adaptação e permanência do estudante universitário?</w:t>
      </w:r>
      <w:r w:rsidR="00D8556B" w:rsidRPr="004E6BD0">
        <w:rPr>
          <w:i/>
        </w:rPr>
        <w:t xml:space="preserve">  </w:t>
      </w:r>
      <w:r w:rsidR="00455DA3" w:rsidRPr="004E6BD0">
        <w:rPr>
          <w:i/>
        </w:rPr>
        <w:t xml:space="preserve"> </w:t>
      </w:r>
    </w:p>
    <w:p w14:paraId="121BCA2B" w14:textId="77777777" w:rsidR="007D4FEA" w:rsidRDefault="007D4FEA" w:rsidP="0076728F">
      <w:pPr>
        <w:jc w:val="both"/>
      </w:pPr>
      <w:r>
        <w:tab/>
      </w:r>
      <w:r w:rsidR="00976AE7">
        <w:t xml:space="preserve">As relações entre </w:t>
      </w:r>
      <w:r w:rsidR="00D8556B">
        <w:t>os construtos</w:t>
      </w:r>
      <w:r w:rsidR="00976AE7">
        <w:t xml:space="preserve"> serão investigadas a partir de uma análise de dados coletados pelas respectivas escalas e questionários, aplicados numa amostra de 600 </w:t>
      </w:r>
      <w:r w:rsidR="00D8556B">
        <w:t>estudantes universitário</w:t>
      </w:r>
      <w:r w:rsidR="00856887">
        <w:t>s</w:t>
      </w:r>
      <w:r w:rsidR="00976AE7">
        <w:t xml:space="preserve">. </w:t>
      </w:r>
    </w:p>
    <w:p w14:paraId="4F27993B" w14:textId="77777777" w:rsidR="00070B69" w:rsidRDefault="00597B98" w:rsidP="0076728F">
      <w:pPr>
        <w:jc w:val="both"/>
      </w:pPr>
      <w:r>
        <w:tab/>
      </w:r>
      <w:r w:rsidR="00E007ED">
        <w:t xml:space="preserve">O Questionário de Adaptação ao Ensino Superior </w:t>
      </w:r>
      <w:r w:rsidR="001A1E11">
        <w:t>(QAES), propõe 6 (seis)</w:t>
      </w:r>
      <w:r w:rsidR="00E007ED">
        <w:t xml:space="preserve"> dimensões</w:t>
      </w:r>
      <w:r w:rsidR="001A1E11">
        <w:t xml:space="preserve"> para melhor compreensão do conceito, sendo elas:</w:t>
      </w:r>
      <w:r w:rsidR="00E007ED">
        <w:t xml:space="preserve"> compromisso com o curso, adaptação interpessoal, adaptação pessoal-emocional, adaptação acadêmica, adaptação à instituição e desenvolvimento de carreira (Araújo et al, 2014). </w:t>
      </w:r>
      <w:r w:rsidR="001A1E11">
        <w:t xml:space="preserve">Considerando que a adaptação ao Ensino Superior é </w:t>
      </w:r>
      <w:r w:rsidR="00070B69">
        <w:t xml:space="preserve">condição necessária </w:t>
      </w:r>
      <w:r w:rsidR="001A1E11">
        <w:t xml:space="preserve">para </w:t>
      </w:r>
      <w:r w:rsidR="00070B69">
        <w:t xml:space="preserve">permanência no curso e sucesso acadêmico, temos razões teóricas e conceituais para acreditar que garra, </w:t>
      </w:r>
      <w:proofErr w:type="spellStart"/>
      <w:r w:rsidR="00070B69" w:rsidRPr="00070B69">
        <w:rPr>
          <w:i/>
        </w:rPr>
        <w:t>coping</w:t>
      </w:r>
      <w:proofErr w:type="spellEnd"/>
      <w:r w:rsidR="00070B69">
        <w:t xml:space="preserve"> e satisfação pela vida são construtos preditores de adaptação ao Ensino Superior.</w:t>
      </w:r>
      <w:r w:rsidR="00385B45">
        <w:t xml:space="preserve"> </w:t>
      </w:r>
      <w:r w:rsidR="004E6BD0">
        <w:t>Vejamos</w:t>
      </w:r>
      <w:r w:rsidR="00385B45">
        <w:t>.</w:t>
      </w:r>
      <w:r w:rsidR="00070B69">
        <w:t xml:space="preserve"> </w:t>
      </w:r>
    </w:p>
    <w:p w14:paraId="3D2E3C75" w14:textId="77777777" w:rsidR="00A403C9" w:rsidRDefault="00070B69" w:rsidP="0076728F">
      <w:pPr>
        <w:jc w:val="both"/>
      </w:pPr>
      <w:r>
        <w:tab/>
      </w:r>
      <w:r w:rsidR="0076728F">
        <w:t xml:space="preserve">Garra é um construto relacionado à personalidade, </w:t>
      </w:r>
      <w:r w:rsidR="00385B45">
        <w:t>definido</w:t>
      </w:r>
      <w:r w:rsidR="0076728F">
        <w:t xml:space="preserve"> pela capacidade de sustentar esforço e intere</w:t>
      </w:r>
      <w:r w:rsidR="00E007ED">
        <w:t>sse em objetivos de longo prazo</w:t>
      </w:r>
      <w:r w:rsidR="0076728F">
        <w:t xml:space="preserve"> </w:t>
      </w:r>
      <w:r w:rsidR="000F3A2C">
        <w:t>(Noronha &amp; Almeida, 2022).</w:t>
      </w:r>
      <w:r w:rsidR="00385B45">
        <w:t xml:space="preserve"> Adaptação pressupõe compromisso com um objetivo de longo prazo, sendo ele, a conclusão do curso.</w:t>
      </w:r>
      <w:r w:rsidR="000F3A2C">
        <w:t xml:space="preserve"> </w:t>
      </w:r>
      <w:r w:rsidR="00385B45">
        <w:t>O</w:t>
      </w:r>
      <w:r w:rsidR="000F3A2C">
        <w:t xml:space="preserve"> estudo realizado por Luca et al (2018), </w:t>
      </w:r>
      <w:r w:rsidR="00385B45">
        <w:t xml:space="preserve">mostrou que </w:t>
      </w:r>
      <w:r w:rsidR="000F3A2C">
        <w:t xml:space="preserve">estratégias de </w:t>
      </w:r>
      <w:proofErr w:type="spellStart"/>
      <w:r w:rsidR="000F3A2C" w:rsidRPr="00D32ABF">
        <w:rPr>
          <w:i/>
        </w:rPr>
        <w:t>coping</w:t>
      </w:r>
      <w:proofErr w:type="spellEnd"/>
      <w:r w:rsidR="000F3A2C">
        <w:t xml:space="preserve"> se correlaciona</w:t>
      </w:r>
      <w:r w:rsidR="00385B45">
        <w:t>ra</w:t>
      </w:r>
      <w:r w:rsidR="000F3A2C">
        <w:t>m positivame</w:t>
      </w:r>
      <w:r w:rsidR="00385B45">
        <w:t>nte com melhor adaptação ao ensi</w:t>
      </w:r>
      <w:r w:rsidR="000F3A2C">
        <w:t xml:space="preserve">no superior. </w:t>
      </w:r>
      <w:proofErr w:type="spellStart"/>
      <w:r w:rsidR="000F3A2C" w:rsidRPr="00D32ABF">
        <w:rPr>
          <w:i/>
        </w:rPr>
        <w:t>Coping</w:t>
      </w:r>
      <w:proofErr w:type="spellEnd"/>
      <w:r w:rsidR="000F3A2C">
        <w:t xml:space="preserve"> é definido como um conjunto de estratégias utilizadas para reduzir ou controlar efeitos estressantes em diferentes situações de vida</w:t>
      </w:r>
      <w:r w:rsidR="00091C15">
        <w:t>, estando relacionado</w:t>
      </w:r>
      <w:r w:rsidR="00D32ABF">
        <w:t xml:space="preserve"> também </w:t>
      </w:r>
      <w:r w:rsidR="009F3B00">
        <w:t>a um maior compromisso com os objetivos de vida.</w:t>
      </w:r>
      <w:r w:rsidR="00C8719D">
        <w:t xml:space="preserve"> </w:t>
      </w:r>
      <w:r w:rsidR="00091C15">
        <w:t>Por fim, s</w:t>
      </w:r>
      <w:r w:rsidR="00C8719D">
        <w:t>atisfação com a vida é um componente c</w:t>
      </w:r>
      <w:r w:rsidR="00091C15">
        <w:t xml:space="preserve">ognitivo do bem estar subjetivo, </w:t>
      </w:r>
      <w:r w:rsidR="004E6BD0">
        <w:t xml:space="preserve">que revela </w:t>
      </w:r>
      <w:r w:rsidR="00944509">
        <w:t>um</w:t>
      </w:r>
      <w:r w:rsidR="004E6BD0">
        <w:t xml:space="preserve">a forma </w:t>
      </w:r>
      <w:r w:rsidR="00944509">
        <w:t xml:space="preserve">positiva da pessoa avaliar suas experiências. Dificilmente, sem estar satisfeita, a pessoa manteria esforço e interesse em objetivos de longo prazo. É possível que encontremos uma relação de </w:t>
      </w:r>
      <w:proofErr w:type="spellStart"/>
      <w:r w:rsidR="00944509" w:rsidRPr="00944509">
        <w:rPr>
          <w:i/>
        </w:rPr>
        <w:t>coping</w:t>
      </w:r>
      <w:proofErr w:type="spellEnd"/>
      <w:r w:rsidR="00944509">
        <w:t xml:space="preserve"> como condição necessária e, portanto, preditora de satisfação com a vida. </w:t>
      </w:r>
    </w:p>
    <w:p w14:paraId="31D22E0B" w14:textId="77777777" w:rsidR="00C8719D" w:rsidRDefault="00C8719D" w:rsidP="0076728F">
      <w:pPr>
        <w:jc w:val="both"/>
      </w:pPr>
    </w:p>
    <w:p w14:paraId="673D3828" w14:textId="77777777" w:rsidR="00337017" w:rsidRDefault="00337017" w:rsidP="0076728F">
      <w:pPr>
        <w:jc w:val="both"/>
      </w:pPr>
    </w:p>
    <w:p w14:paraId="32A04068" w14:textId="77777777" w:rsidR="00B41774" w:rsidRDefault="00B41774">
      <w:pPr>
        <w:spacing w:after="200" w:line="276" w:lineRule="auto"/>
        <w:rPr>
          <w:color w:val="222222"/>
          <w:u w:val="single"/>
          <w:shd w:val="clear" w:color="auto" w:fill="FFFFFF"/>
        </w:rPr>
      </w:pPr>
      <w:r>
        <w:rPr>
          <w:color w:val="222222"/>
          <w:u w:val="single"/>
          <w:shd w:val="clear" w:color="auto" w:fill="FFFFFF"/>
        </w:rPr>
        <w:br w:type="page"/>
      </w:r>
    </w:p>
    <w:p w14:paraId="48D3A282" w14:textId="77777777" w:rsidR="00337017" w:rsidRPr="00784FB9" w:rsidRDefault="00784FB9" w:rsidP="00784FB9">
      <w:pPr>
        <w:jc w:val="both"/>
        <w:rPr>
          <w:color w:val="222222"/>
          <w:sz w:val="20"/>
          <w:szCs w:val="20"/>
          <w:shd w:val="clear" w:color="auto" w:fill="FFFFFF"/>
        </w:rPr>
      </w:pPr>
      <w:r w:rsidRPr="00B41774">
        <w:rPr>
          <w:b/>
          <w:color w:val="222222"/>
          <w:u w:val="single"/>
          <w:shd w:val="clear" w:color="auto" w:fill="FFFFFF"/>
        </w:rPr>
        <w:lastRenderedPageBreak/>
        <w:t>Referências</w:t>
      </w:r>
      <w:r w:rsidRPr="00784FB9">
        <w:rPr>
          <w:color w:val="222222"/>
          <w:sz w:val="20"/>
          <w:szCs w:val="20"/>
          <w:shd w:val="clear" w:color="auto" w:fill="FFFFFF"/>
        </w:rPr>
        <w:t xml:space="preserve">: </w:t>
      </w:r>
    </w:p>
    <w:p w14:paraId="7A0E2F10" w14:textId="77777777" w:rsidR="00337017" w:rsidRPr="00784FB9" w:rsidRDefault="00337017" w:rsidP="00784FB9">
      <w:pPr>
        <w:jc w:val="both"/>
        <w:rPr>
          <w:color w:val="222222"/>
          <w:sz w:val="20"/>
          <w:szCs w:val="20"/>
          <w:shd w:val="clear" w:color="auto" w:fill="FFFFFF"/>
        </w:rPr>
      </w:pPr>
    </w:p>
    <w:p w14:paraId="0D3070DA" w14:textId="77777777" w:rsidR="00337017" w:rsidRPr="00784FB9" w:rsidRDefault="00337017" w:rsidP="00784FB9">
      <w:pPr>
        <w:jc w:val="both"/>
        <w:rPr>
          <w:color w:val="222222"/>
          <w:sz w:val="20"/>
          <w:szCs w:val="20"/>
          <w:shd w:val="clear" w:color="auto" w:fill="FFFFFF"/>
        </w:rPr>
      </w:pPr>
    </w:p>
    <w:p w14:paraId="16660E60" w14:textId="77777777" w:rsidR="00337017" w:rsidRPr="00B41774" w:rsidRDefault="00337017" w:rsidP="00784FB9">
      <w:pPr>
        <w:jc w:val="both"/>
        <w:rPr>
          <w:color w:val="222222"/>
          <w:shd w:val="clear" w:color="auto" w:fill="FFFFFF"/>
        </w:rPr>
      </w:pPr>
      <w:r w:rsidRPr="00B41774">
        <w:rPr>
          <w:color w:val="222222"/>
          <w:shd w:val="clear" w:color="auto" w:fill="FFFFFF"/>
        </w:rPr>
        <w:t>Araújo, A. M., Almeida, L. S., Ferreira, J. A., Santos, A. D., Noronha, A. P., &amp; Zanon, C. (2014). Questionário de Adaptação ao Ensino Superior (QAES): Construção e validação de um novo questionário. </w:t>
      </w:r>
      <w:r w:rsidRPr="00B41774">
        <w:rPr>
          <w:i/>
          <w:iCs/>
          <w:color w:val="222222"/>
          <w:shd w:val="clear" w:color="auto" w:fill="FFFFFF"/>
        </w:rPr>
        <w:t>Psicologia, Educação e Cultura</w:t>
      </w:r>
      <w:r w:rsidRPr="00B41774">
        <w:rPr>
          <w:color w:val="222222"/>
          <w:shd w:val="clear" w:color="auto" w:fill="FFFFFF"/>
        </w:rPr>
        <w:t>, </w:t>
      </w:r>
      <w:r w:rsidRPr="00B41774">
        <w:rPr>
          <w:i/>
          <w:iCs/>
          <w:color w:val="222222"/>
          <w:shd w:val="clear" w:color="auto" w:fill="FFFFFF"/>
        </w:rPr>
        <w:t>18</w:t>
      </w:r>
      <w:r w:rsidRPr="00B41774">
        <w:rPr>
          <w:color w:val="222222"/>
          <w:shd w:val="clear" w:color="auto" w:fill="FFFFFF"/>
        </w:rPr>
        <w:t>(1), 131-145.</w:t>
      </w:r>
    </w:p>
    <w:p w14:paraId="64422EAC" w14:textId="77777777" w:rsidR="000F3A2C" w:rsidRPr="00B41774" w:rsidRDefault="000F3A2C" w:rsidP="00784FB9">
      <w:pPr>
        <w:jc w:val="both"/>
      </w:pPr>
    </w:p>
    <w:p w14:paraId="5A05665B" w14:textId="77777777" w:rsidR="00784FB9" w:rsidRPr="00B41774" w:rsidRDefault="00784FB9" w:rsidP="00784FB9">
      <w:pPr>
        <w:jc w:val="both"/>
        <w:rPr>
          <w:color w:val="403D39"/>
          <w:shd w:val="clear" w:color="auto" w:fill="FFFFFF"/>
        </w:rPr>
      </w:pPr>
      <w:r w:rsidRPr="00B41774">
        <w:rPr>
          <w:color w:val="403D39"/>
          <w:shd w:val="clear" w:color="auto" w:fill="FFFFFF"/>
        </w:rPr>
        <w:t xml:space="preserve">Barroso, P. C. F., Oliveira, M.I., Noronha-Sousa, </w:t>
      </w:r>
      <w:proofErr w:type="gramStart"/>
      <w:r w:rsidRPr="00B41774">
        <w:rPr>
          <w:color w:val="403D39"/>
          <w:shd w:val="clear" w:color="auto" w:fill="FFFFFF"/>
        </w:rPr>
        <w:t>D. ,</w:t>
      </w:r>
      <w:proofErr w:type="gramEnd"/>
      <w:r w:rsidRPr="00B41774">
        <w:rPr>
          <w:color w:val="403D39"/>
          <w:shd w:val="clear" w:color="auto" w:fill="FFFFFF"/>
        </w:rPr>
        <w:t xml:space="preserve"> Noronha, A., Mateus, C.C., </w:t>
      </w:r>
      <w:proofErr w:type="spellStart"/>
      <w:r w:rsidRPr="00B41774">
        <w:rPr>
          <w:color w:val="403D39"/>
          <w:shd w:val="clear" w:color="auto" w:fill="FFFFFF"/>
        </w:rPr>
        <w:t>Vázquez</w:t>
      </w:r>
      <w:proofErr w:type="spellEnd"/>
      <w:r w:rsidRPr="00B41774">
        <w:rPr>
          <w:color w:val="403D39"/>
          <w:shd w:val="clear" w:color="auto" w:fill="FFFFFF"/>
        </w:rPr>
        <w:t xml:space="preserve">-Justo, E.,  Costa-Lobo, C. </w:t>
      </w:r>
      <w:r w:rsidR="0017307A" w:rsidRPr="00B41774">
        <w:rPr>
          <w:color w:val="403D39"/>
          <w:shd w:val="clear" w:color="auto" w:fill="FFFFFF"/>
        </w:rPr>
        <w:t xml:space="preserve">Fatores de evasão no Ensino Superior: Uma revisão de literatura.  </w:t>
      </w:r>
      <w:r w:rsidRPr="00B41774">
        <w:rPr>
          <w:i/>
          <w:color w:val="403D39"/>
          <w:shd w:val="clear" w:color="auto" w:fill="FFFFFF"/>
        </w:rPr>
        <w:t>Psicologia Escolar e Educacional</w:t>
      </w:r>
      <w:r w:rsidRPr="00B41774">
        <w:rPr>
          <w:color w:val="403D39"/>
          <w:shd w:val="clear" w:color="auto" w:fill="FFFFFF"/>
        </w:rPr>
        <w:t xml:space="preserve"> [online]. 2022, </w:t>
      </w:r>
      <w:r w:rsidR="0017307A" w:rsidRPr="00B41774">
        <w:rPr>
          <w:color w:val="403D39"/>
          <w:shd w:val="clear" w:color="auto" w:fill="FFFFFF"/>
        </w:rPr>
        <w:t>v. 26</w:t>
      </w:r>
      <w:r w:rsidRPr="00B41774">
        <w:rPr>
          <w:color w:val="403D39"/>
          <w:shd w:val="clear" w:color="auto" w:fill="FFFFFF"/>
        </w:rPr>
        <w:t xml:space="preserve">. Disponível em: </w:t>
      </w:r>
      <w:hyperlink r:id="rId4" w:history="1">
        <w:r w:rsidR="0017307A" w:rsidRPr="00B41774">
          <w:rPr>
            <w:rStyle w:val="Hyperlink"/>
            <w:shd w:val="clear" w:color="auto" w:fill="FFFFFF"/>
          </w:rPr>
          <w:t>https://doi.org/10.1590/2175-35392022228736</w:t>
        </w:r>
      </w:hyperlink>
      <w:r w:rsidRPr="00B41774">
        <w:rPr>
          <w:color w:val="403D39"/>
          <w:shd w:val="clear" w:color="auto" w:fill="FFFFFF"/>
        </w:rPr>
        <w:t>.</w:t>
      </w:r>
    </w:p>
    <w:p w14:paraId="1C34A427" w14:textId="77777777" w:rsidR="0017307A" w:rsidRPr="00B41774" w:rsidRDefault="0017307A" w:rsidP="00784FB9">
      <w:pPr>
        <w:jc w:val="both"/>
      </w:pPr>
    </w:p>
    <w:p w14:paraId="2A8A1FA5" w14:textId="77777777" w:rsidR="000F3A2C" w:rsidRPr="00B41774" w:rsidRDefault="000F3A2C" w:rsidP="00784FB9">
      <w:pPr>
        <w:jc w:val="both"/>
      </w:pPr>
      <w:r w:rsidRPr="00B41774">
        <w:rPr>
          <w:color w:val="000000"/>
        </w:rPr>
        <w:t xml:space="preserve">Luca, L., Noronha, A. P., &amp; Queluz, F. N. F. R. (2018). Relações entre estratégias de </w:t>
      </w:r>
      <w:proofErr w:type="spellStart"/>
      <w:r w:rsidRPr="00B41774">
        <w:rPr>
          <w:color w:val="000000"/>
        </w:rPr>
        <w:t>coping</w:t>
      </w:r>
      <w:proofErr w:type="spellEnd"/>
      <w:r w:rsidRPr="00B41774">
        <w:rPr>
          <w:color w:val="000000"/>
        </w:rPr>
        <w:t xml:space="preserve"> e adaptabilidade acadêmica em estudantes universitários. </w:t>
      </w:r>
      <w:r w:rsidRPr="00B41774">
        <w:rPr>
          <w:i/>
          <w:iCs/>
          <w:color w:val="000000"/>
        </w:rPr>
        <w:t>Revista Brasileira de Orientação Profissional</w:t>
      </w:r>
      <w:r w:rsidRPr="00B41774">
        <w:rPr>
          <w:color w:val="000000"/>
        </w:rPr>
        <w:t>, </w:t>
      </w:r>
      <w:r w:rsidRPr="00B41774">
        <w:rPr>
          <w:i/>
          <w:iCs/>
          <w:color w:val="000000"/>
        </w:rPr>
        <w:t>19</w:t>
      </w:r>
      <w:r w:rsidRPr="00B41774">
        <w:rPr>
          <w:color w:val="000000"/>
        </w:rPr>
        <w:t>(2), 169-176. </w:t>
      </w:r>
      <w:hyperlink r:id="rId5" w:history="1">
        <w:r w:rsidRPr="00B41774">
          <w:rPr>
            <w:rStyle w:val="Hyperlink"/>
            <w:color w:val="555555"/>
          </w:rPr>
          <w:t>https://dx.doi.org/1026707/1984-7270/2019v19n2p169</w:t>
        </w:r>
      </w:hyperlink>
    </w:p>
    <w:p w14:paraId="0FECCE9E" w14:textId="77777777" w:rsidR="000F3A2C" w:rsidRPr="00B41774" w:rsidRDefault="000F3A2C" w:rsidP="00784FB9">
      <w:pPr>
        <w:jc w:val="both"/>
      </w:pPr>
    </w:p>
    <w:p w14:paraId="0ABF366E" w14:textId="77777777" w:rsidR="000F3A2C" w:rsidRPr="00B41774" w:rsidRDefault="000F3A2C" w:rsidP="00784FB9">
      <w:pPr>
        <w:jc w:val="both"/>
      </w:pPr>
      <w:r w:rsidRPr="00B41774">
        <w:t xml:space="preserve">Noronha, A. P., &amp; Almeida, L. S. (2022). </w:t>
      </w:r>
      <w:r w:rsidR="001F2AD3" w:rsidRPr="00B41774">
        <w:t xml:space="preserve">A construção e estudos psicométricos da Escala de Avaliação da Garra: Versão Internacional em Língua </w:t>
      </w:r>
      <w:proofErr w:type="gramStart"/>
      <w:r w:rsidR="001F2AD3" w:rsidRPr="00B41774">
        <w:t xml:space="preserve">Portuguesa  </w:t>
      </w:r>
      <w:r w:rsidRPr="00B41774">
        <w:t>(</w:t>
      </w:r>
      <w:proofErr w:type="spellStart"/>
      <w:proofErr w:type="gramEnd"/>
      <w:r w:rsidRPr="00B41774">
        <w:t>EAGrIt</w:t>
      </w:r>
      <w:proofErr w:type="spellEnd"/>
      <w:r w:rsidRPr="00B41774">
        <w:t xml:space="preserve">-LP). </w:t>
      </w:r>
      <w:r w:rsidRPr="00B41774">
        <w:rPr>
          <w:i/>
        </w:rPr>
        <w:t>Revista de Psicologia, Educação e Cultura</w:t>
      </w:r>
      <w:r w:rsidRPr="00B41774">
        <w:t>, 26(1), 8-23.</w:t>
      </w:r>
    </w:p>
    <w:p w14:paraId="6497C1D2" w14:textId="77777777" w:rsidR="00B2695E" w:rsidRPr="00B41774" w:rsidRDefault="00B2695E" w:rsidP="00784FB9">
      <w:pPr>
        <w:jc w:val="both"/>
      </w:pPr>
    </w:p>
    <w:p w14:paraId="2CF38768" w14:textId="77777777" w:rsidR="000F3A2C" w:rsidRPr="00B41774" w:rsidRDefault="006812F7" w:rsidP="00784FB9">
      <w:pPr>
        <w:jc w:val="both"/>
        <w:rPr>
          <w:color w:val="222222"/>
          <w:shd w:val="clear" w:color="auto" w:fill="FFFFFF"/>
        </w:rPr>
      </w:pPr>
      <w:r w:rsidRPr="00B41774">
        <w:rPr>
          <w:color w:val="222222"/>
          <w:shd w:val="clear" w:color="auto" w:fill="FFFFFF"/>
        </w:rPr>
        <w:t>Silveira, F. (2017). </w:t>
      </w:r>
      <w:r w:rsidRPr="00B41774">
        <w:rPr>
          <w:i/>
          <w:iCs/>
          <w:color w:val="222222"/>
          <w:shd w:val="clear" w:color="auto" w:fill="FFFFFF"/>
        </w:rPr>
        <w:t>A evasão de estudantes no Instituto Federal de Educação, Ciência e Tecnologia de São Paulo: uma contribuição ao conhecimento das dificuldades na identificação de seus determinantes</w:t>
      </w:r>
      <w:r w:rsidRPr="00B41774">
        <w:rPr>
          <w:color w:val="222222"/>
          <w:shd w:val="clear" w:color="auto" w:fill="FFFFFF"/>
        </w:rPr>
        <w:t> (</w:t>
      </w:r>
      <w:proofErr w:type="spellStart"/>
      <w:r w:rsidRPr="00B41774">
        <w:rPr>
          <w:color w:val="222222"/>
          <w:shd w:val="clear" w:color="auto" w:fill="FFFFFF"/>
        </w:rPr>
        <w:t>Doctoral</w:t>
      </w:r>
      <w:proofErr w:type="spellEnd"/>
      <w:r w:rsidRPr="00B41774">
        <w:rPr>
          <w:color w:val="222222"/>
          <w:shd w:val="clear" w:color="auto" w:fill="FFFFFF"/>
        </w:rPr>
        <w:t xml:space="preserve"> </w:t>
      </w:r>
      <w:proofErr w:type="spellStart"/>
      <w:r w:rsidRPr="00B41774">
        <w:rPr>
          <w:color w:val="222222"/>
          <w:shd w:val="clear" w:color="auto" w:fill="FFFFFF"/>
        </w:rPr>
        <w:t>dissertation</w:t>
      </w:r>
      <w:proofErr w:type="spellEnd"/>
      <w:r w:rsidRPr="00B41774">
        <w:rPr>
          <w:color w:val="222222"/>
          <w:shd w:val="clear" w:color="auto" w:fill="FFFFFF"/>
        </w:rPr>
        <w:t>, Tese (Doutorado em Educação), Universidade Estadual de Campinas, São Paulo).</w:t>
      </w:r>
    </w:p>
    <w:p w14:paraId="159E6CC3" w14:textId="77777777" w:rsidR="00E3326F" w:rsidRPr="00784FB9" w:rsidRDefault="00E3326F" w:rsidP="00784FB9">
      <w:pPr>
        <w:jc w:val="both"/>
        <w:rPr>
          <w:color w:val="222222"/>
          <w:sz w:val="20"/>
          <w:szCs w:val="20"/>
          <w:shd w:val="clear" w:color="auto" w:fill="FFFFFF"/>
        </w:rPr>
      </w:pPr>
    </w:p>
    <w:p w14:paraId="79BF2F5B" w14:textId="77777777" w:rsidR="00784FB9" w:rsidRPr="00784FB9" w:rsidRDefault="00784FB9">
      <w:pPr>
        <w:jc w:val="both"/>
        <w:rPr>
          <w:sz w:val="20"/>
          <w:szCs w:val="20"/>
        </w:rPr>
      </w:pPr>
    </w:p>
    <w:sectPr w:rsidR="00784FB9" w:rsidRPr="00784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38"/>
    <w:rsid w:val="00013580"/>
    <w:rsid w:val="00070B69"/>
    <w:rsid w:val="00091C15"/>
    <w:rsid w:val="000F3A2C"/>
    <w:rsid w:val="001015A7"/>
    <w:rsid w:val="0017307A"/>
    <w:rsid w:val="001A1E11"/>
    <w:rsid w:val="001E3638"/>
    <w:rsid w:val="001F2AD3"/>
    <w:rsid w:val="00337017"/>
    <w:rsid w:val="00385B45"/>
    <w:rsid w:val="00455DA3"/>
    <w:rsid w:val="00464A27"/>
    <w:rsid w:val="004E6BD0"/>
    <w:rsid w:val="00511149"/>
    <w:rsid w:val="00533F31"/>
    <w:rsid w:val="00597B98"/>
    <w:rsid w:val="006812F7"/>
    <w:rsid w:val="0076728F"/>
    <w:rsid w:val="00784FB9"/>
    <w:rsid w:val="007D4FEA"/>
    <w:rsid w:val="00811B85"/>
    <w:rsid w:val="00856887"/>
    <w:rsid w:val="00874FEF"/>
    <w:rsid w:val="00944509"/>
    <w:rsid w:val="00976AE7"/>
    <w:rsid w:val="009B7CC6"/>
    <w:rsid w:val="009F3B00"/>
    <w:rsid w:val="009F431F"/>
    <w:rsid w:val="00A403C9"/>
    <w:rsid w:val="00A8008D"/>
    <w:rsid w:val="00B2695E"/>
    <w:rsid w:val="00B41774"/>
    <w:rsid w:val="00BC53F5"/>
    <w:rsid w:val="00C04BA6"/>
    <w:rsid w:val="00C8719D"/>
    <w:rsid w:val="00D05478"/>
    <w:rsid w:val="00D32ABF"/>
    <w:rsid w:val="00D54684"/>
    <w:rsid w:val="00D8556B"/>
    <w:rsid w:val="00DB1F93"/>
    <w:rsid w:val="00DF28F1"/>
    <w:rsid w:val="00DF5F70"/>
    <w:rsid w:val="00E007ED"/>
    <w:rsid w:val="00E1503A"/>
    <w:rsid w:val="00E3326F"/>
    <w:rsid w:val="00F2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8E332"/>
  <w15:docId w15:val="{CC128B18-B54C-E740-BF70-9BF94457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6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E3638"/>
    <w:pPr>
      <w:keepNext/>
      <w:spacing w:before="240" w:after="80"/>
      <w:jc w:val="both"/>
      <w:outlineLvl w:val="1"/>
    </w:pPr>
    <w:rPr>
      <w:b/>
      <w:smallCaps/>
      <w:color w:val="0070C0"/>
      <w:szCs w:val="20"/>
    </w:rPr>
  </w:style>
  <w:style w:type="paragraph" w:styleId="Ttulo3">
    <w:name w:val="heading 3"/>
    <w:basedOn w:val="Normal"/>
    <w:next w:val="Normal"/>
    <w:link w:val="Ttulo3Char"/>
    <w:qFormat/>
    <w:rsid w:val="001E3638"/>
    <w:pPr>
      <w:keepNext/>
      <w:spacing w:before="240" w:after="60"/>
      <w:outlineLvl w:val="2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1E3638"/>
    <w:rPr>
      <w:rFonts w:ascii="Times New Roman" w:eastAsia="Times New Roman" w:hAnsi="Times New Roman" w:cs="Times New Roman"/>
      <w:b/>
      <w:smallCaps/>
      <w:color w:val="0070C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1E3638"/>
    <w:rPr>
      <w:rFonts w:ascii="Times New Roman" w:eastAsia="Times New Roman" w:hAnsi="Times New Roman" w:cs="Arial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F3A2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F2A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x.doi.org/1026707/1984-7270/2019v19n2p169" TargetMode="External"/><Relationship Id="rId4" Type="http://schemas.openxmlformats.org/officeDocument/2006/relationships/hyperlink" Target="https://doi.org/10.1590/2175-3539202222873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667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Ricardo Primi</cp:lastModifiedBy>
  <cp:revision>3</cp:revision>
  <dcterms:created xsi:type="dcterms:W3CDTF">2022-09-06T13:15:00Z</dcterms:created>
  <dcterms:modified xsi:type="dcterms:W3CDTF">2022-09-06T14:05:00Z</dcterms:modified>
</cp:coreProperties>
</file>