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BD0B736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240" w:line="360" w:lineRule="auto"/>
        <w:ind w:right="0" w:firstLine="0" w:left="0"/>
        <w:rPr/>
      </w:pPr>
      <w:r>
        <w:rPr>
          <w:rFonts w:ascii="Arial" w:hAnsi="Arial" w:eastAsia="Arial" w:cs="Arial"/>
          <w:b/>
          <w:color w:val="1a365d"/>
          <w:sz w:val="44"/>
          <w:u w:val="none"/>
        </w:rPr>
        <w:t xml:space="preserve">Estándar JATS XML: Estructura del &lt;front&gt; y Diagnóstico de Fallas de Ingesta</w:t>
      </w:r>
      <w:r/>
    </w:p>
    <w:p w14:paraId="7944EB9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360" w:before="0" w:line="360" w:lineRule="auto"/>
        <w:ind w:right="0" w:firstLine="0" w:left="0"/>
        <w:rPr/>
      </w:pPr>
      <w:r>
        <w:rPr>
          <w:rFonts w:ascii="Arial" w:hAnsi="Arial" w:eastAsia="Arial" w:cs="Arial"/>
          <w:color w:val="000000"/>
          <w:sz w:val="22"/>
          <w:u w:val="none"/>
        </w:rPr>
        <w:t xml:space="preserve">Esta documentación proporciona una guía técnica sobre la estructura del encabezado metadato (&lt;front&gt;) en el estándar </w:t>
      </w:r>
      <w:r>
        <w:rPr>
          <w:rFonts w:ascii="Arial" w:hAnsi="Arial" w:eastAsia="Arial" w:cs="Arial"/>
          <w:b/>
          <w:color w:val="000000"/>
          <w:sz w:val="22"/>
          <w:u w:val="none"/>
        </w:rPr>
        <w:t xml:space="preserve">Journal Article Tag Suite (JATS XML)</w:t>
      </w:r>
      <w:r>
        <w:rPr>
          <w:rFonts w:ascii="Arial" w:hAnsi="Arial" w:eastAsia="Arial" w:cs="Arial"/>
          <w:color w:val="000000"/>
          <w:sz w:val="22"/>
          <w:u w:val="none"/>
        </w:rPr>
        <w:t xml:space="preserve"> NISO Z39.96. Además, analiza de manera exhaustiva las causas habituales de falla durante la ingesta automatizada a partir de archivos de procesador de texto (DOCX).</w:t>
      </w:r>
      <w:r/>
    </w:p>
    <w:p w14:paraId="4DC9357E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0" w:line="360" w:lineRule="auto"/>
        <w:ind w:right="0" w:firstLine="0" w:left="0"/>
        <w:rPr/>
      </w:pPr>
      <w:r>
        <w:rPr>
          <w:rFonts w:ascii="Arial" w:hAnsi="Arial" w:eastAsia="Arial" w:cs="Arial"/>
          <w:b/>
          <w:color w:val="2b6cb0"/>
          <w:sz w:val="32"/>
          <w:u w:val="none"/>
        </w:rPr>
        <w:t xml:space="preserve">1. Visión General del Estándar JATS XML</w:t>
      </w:r>
      <w:r/>
    </w:p>
    <w:p w14:paraId="032D706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2"/>
          <w:u w:val="none"/>
        </w:rPr>
        <w:t xml:space="preserve">JATS XML es el estándar internacional de la </w:t>
      </w:r>
      <w:r>
        <w:rPr>
          <w:rFonts w:ascii="Arial" w:hAnsi="Arial" w:eastAsia="Arial" w:cs="Arial"/>
          <w:i/>
          <w:color w:val="000000"/>
          <w:sz w:val="22"/>
          <w:u w:val="none"/>
        </w:rPr>
        <w:t xml:space="preserve">National Information Standards Organization (NISO)</w:t>
      </w:r>
      <w:r>
        <w:rPr>
          <w:rFonts w:ascii="Arial" w:hAnsi="Arial" w:eastAsia="Arial" w:cs="Arial"/>
          <w:color w:val="000000"/>
          <w:sz w:val="22"/>
          <w:u w:val="none"/>
        </w:rPr>
        <w:t xml:space="preserve"> utilizado para representar y estructurar la literatura científica y académica digital. Todo documento JATS válido cuenta con la siguiente división de alto nivel:</w:t>
      </w:r>
      <w:r/>
    </w:p>
    <w:p w14:paraId="359378F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/>
        <w:rPr/>
      </w:pPr>
      <w:r>
        <w:rPr>
          <w:rFonts w:ascii="Arial" w:hAnsi="Arial" w:eastAsia="Arial" w:cs="Arial"/>
          <w:color w:val="000000"/>
          <w:sz w:val="22"/>
          <w:u w:val="none"/>
        </w:rPr>
        <w:t xml:space="preserve">&lt;front&gt;: Contiene los metadatos del artículo (título, autores, afiliaciones, resumen, fechas de ciclo editorial, revista, etc.).</w:t>
      </w:r>
      <w:r/>
    </w:p>
    <w:p w14:paraId="3745300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/>
        <w:rPr/>
      </w:pPr>
      <w:r>
        <w:rPr>
          <w:rFonts w:ascii="Arial" w:hAnsi="Arial" w:eastAsia="Arial" w:cs="Arial"/>
          <w:color w:val="000000"/>
          <w:sz w:val="22"/>
          <w:u w:val="none"/>
        </w:rPr>
        <w:t xml:space="preserve">&lt;body&gt;: Contiene el cuerpo textual estructurado (introducción, metodología, resultados, discusión, etc.).</w:t>
      </w:r>
      <w:r/>
    </w:p>
    <w:p w14:paraId="1CFA965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80" w:before="0" w:line="360" w:lineRule="auto"/>
        <w:ind w:right="0"/>
        <w:rPr/>
      </w:pPr>
      <w:r>
        <w:rPr>
          <w:rFonts w:ascii="Arial" w:hAnsi="Arial" w:eastAsia="Arial" w:cs="Arial"/>
          <w:color w:val="000000"/>
          <w:sz w:val="22"/>
          <w:u w:val="none"/>
        </w:rPr>
        <w:t xml:space="preserve">&lt;back&gt;: Contiene los elementos finales como la bibliografía (&lt;ref-list&gt;), anexos y notas al pie.</w:t>
      </w:r>
      <w:r/>
    </w:p>
    <w:p w14:paraId="2CFBAC0E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360" w:line="360" w:lineRule="auto"/>
        <w:ind w:right="0" w:firstLine="0" w:left="0"/>
        <w:rPr/>
      </w:pPr>
      <w:r>
        <w:rPr>
          <w:rFonts w:ascii="Arial" w:hAnsi="Arial" w:eastAsia="Arial" w:cs="Arial"/>
          <w:b/>
          <w:color w:val="2b6cb0"/>
          <w:sz w:val="32"/>
          <w:u w:val="none"/>
        </w:rPr>
        <w:t xml:space="preserve">2. Estructura y Etiquetas Principales del Elemento &lt;front&gt;</w:t>
      </w:r>
      <w:r/>
    </w:p>
    <w:p w14:paraId="1CEC095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2"/>
          <w:u w:val="none"/>
        </w:rPr>
        <w:t xml:space="preserve">La sección &lt;front&gt; se divide principalmente en dos bloques jerárquicos: &lt;journal-meta&gt; (metadatos de la revista) y &lt;article-meta&gt; (metadatos del artículo específico).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2745"/>
        <w:gridCol w:w="2745"/>
        <w:gridCol w:w="2745"/>
      </w:tblGrid>
      <w:tr>
        <w:trPr>
          <w:trHeight w:val="0"/>
        </w:trPr>
        <w:tc>
          <w:tcPr>
            <w:shd w:val="clear" w:color="f7fafc" w:fill="f7fafc"/>
            <w:tcBorders>
              <w:top w:val="single" w:color="cbd5e0" w:sz="6" w:space="0"/>
              <w:left w:val="single" w:color="cbd5e0" w:sz="6" w:space="0"/>
              <w:bottom w:val="single" w:color="cbd5e0" w:sz="6" w:space="0"/>
              <w:right w:val="single" w:color="cbd5e0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745" w:type="dxa"/>
            <w:vAlign w:val="top"/>
          </w:tcPr>
          <w:p w14:paraId="6F9624B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7fafc" w:fill="f7fafc"/>
              <w:spacing w:after="120" w:before="120" w:line="360" w:lineRule="auto"/>
              <w:ind w:right="0" w:firstLine="0" w:left="0"/>
              <w:jc w:val="center"/>
              <w:rPr/>
            </w:pPr>
            <w:r>
              <w:rPr>
                <w:rFonts w:ascii="Arial" w:hAnsi="Arial" w:eastAsia="Arial" w:cs="Arial"/>
                <w:b/>
                <w:color w:val="2d3748"/>
                <w:sz w:val="22"/>
                <w:u w:val="none"/>
              </w:rPr>
              <w:t xml:space="preserve">Etiqueta JATS</w:t>
            </w:r>
            <w:r/>
          </w:p>
        </w:tc>
        <w:tc>
          <w:tcPr>
            <w:shd w:val="clear" w:color="f7fafc" w:fill="f7fafc"/>
            <w:tcBorders>
              <w:top w:val="single" w:color="cbd5e0" w:sz="6" w:space="0"/>
              <w:left w:val="single" w:color="cbd5e0" w:sz="6" w:space="0"/>
              <w:bottom w:val="single" w:color="cbd5e0" w:sz="6" w:space="0"/>
              <w:right w:val="single" w:color="cbd5e0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745" w:type="dxa"/>
            <w:vAlign w:val="top"/>
          </w:tcPr>
          <w:p w14:paraId="3FB37EE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7fafc" w:fill="f7fafc"/>
              <w:spacing w:after="120" w:before="120" w:line="360" w:lineRule="auto"/>
              <w:ind w:right="0" w:firstLine="0" w:left="0"/>
              <w:jc w:val="center"/>
              <w:rPr/>
            </w:pPr>
            <w:r>
              <w:rPr>
                <w:rFonts w:ascii="Arial" w:hAnsi="Arial" w:eastAsia="Arial" w:cs="Arial"/>
                <w:b/>
                <w:color w:val="2d3748"/>
                <w:sz w:val="22"/>
                <w:u w:val="none"/>
              </w:rPr>
              <w:t xml:space="preserve">Descripción / Propósito</w:t>
            </w:r>
            <w:r/>
          </w:p>
        </w:tc>
        <w:tc>
          <w:tcPr>
            <w:shd w:val="clear" w:color="f7fafc" w:fill="f7fafc"/>
            <w:tcBorders>
              <w:top w:val="single" w:color="cbd5e0" w:sz="6" w:space="0"/>
              <w:left w:val="single" w:color="cbd5e0" w:sz="6" w:space="0"/>
              <w:bottom w:val="single" w:color="cbd5e0" w:sz="6" w:space="0"/>
              <w:right w:val="single" w:color="cbd5e0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745" w:type="dxa"/>
            <w:vAlign w:val="top"/>
          </w:tcPr>
          <w:p w14:paraId="2DCF77E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7fafc" w:fill="f7fafc"/>
              <w:spacing w:after="120" w:before="120" w:line="360" w:lineRule="auto"/>
              <w:ind w:right="0" w:firstLine="0" w:left="0"/>
              <w:jc w:val="center"/>
              <w:rPr/>
            </w:pPr>
            <w:r>
              <w:rPr>
                <w:rFonts w:ascii="Arial" w:hAnsi="Arial" w:eastAsia="Arial" w:cs="Arial"/>
                <w:b/>
                <w:color w:val="2d3748"/>
                <w:sz w:val="22"/>
                <w:u w:val="none"/>
              </w:rPr>
              <w:t xml:space="preserve">Contexto / Subetiquetas Clave</w:t>
            </w:r>
            <w:r/>
          </w:p>
          <w:p w14:paraId="00FC689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7fafc" w:fill="f7fafc"/>
              <w:spacing w:after="0" w:before="0" w:line="360" w:lineRule="auto"/>
              <w:ind w:right="0" w:firstLine="0" w:left="0"/>
              <w:jc w:val="center"/>
              <w:rPr/>
            </w:pPr>
            <w:r>
              <w:rPr>
                <w:rFonts w:ascii="Arial" w:hAnsi="Arial" w:eastAsia="Arial" w:cs="Arial"/>
                <w:color w:val="000000"/>
                <w:sz w:val="22"/>
                <w:u w:val="none"/>
              </w:rPr>
              <w:t xml:space="preserve"> </w:t>
            </w:r>
            <w:r/>
          </w:p>
        </w:tc>
      </w:tr>
      <w:tr>
        <w:trPr>
          <w:trHeight w:val="0"/>
        </w:trPr>
        <w:tc>
          <w:tcPr>
            <w:tcBorders>
              <w:top w:val="single" w:color="cbd5e0" w:sz="6" w:space="0"/>
              <w:left w:val="single" w:color="cbd5e0" w:sz="6" w:space="0"/>
              <w:bottom w:val="single" w:color="cbd5e0" w:sz="6" w:space="0"/>
              <w:right w:val="single" w:color="cbd5e0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745" w:type="dxa"/>
            <w:vAlign w:val="top"/>
          </w:tcPr>
          <w:p w14:paraId="2E068F6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120" w:before="120" w:line="360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000000"/>
                <w:sz w:val="22"/>
                <w:u w:val="none"/>
              </w:rPr>
              <w:t xml:space="preserve">&lt;journal-meta&gt;</w:t>
            </w:r>
            <w:r/>
          </w:p>
        </w:tc>
        <w:tc>
          <w:tcPr>
            <w:tcBorders>
              <w:top w:val="single" w:color="cbd5e0" w:sz="6" w:space="0"/>
              <w:left w:val="single" w:color="cbd5e0" w:sz="6" w:space="0"/>
              <w:bottom w:val="single" w:color="cbd5e0" w:sz="6" w:space="0"/>
              <w:right w:val="single" w:color="cbd5e0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745" w:type="dxa"/>
            <w:vAlign w:val="top"/>
          </w:tcPr>
          <w:p w14:paraId="3ED8112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120" w:before="120" w:line="360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000000"/>
                <w:sz w:val="22"/>
                <w:u w:val="none"/>
              </w:rPr>
              <w:t xml:space="preserve">Metadatos de la publicación seriada.</w:t>
            </w:r>
            <w:r/>
          </w:p>
        </w:tc>
        <w:tc>
          <w:tcPr>
            <w:tcBorders>
              <w:top w:val="single" w:color="cbd5e0" w:sz="6" w:space="0"/>
              <w:left w:val="single" w:color="cbd5e0" w:sz="6" w:space="0"/>
              <w:bottom w:val="single" w:color="cbd5e0" w:sz="6" w:space="0"/>
              <w:right w:val="single" w:color="cbd5e0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745" w:type="dxa"/>
            <w:vAlign w:val="top"/>
          </w:tcPr>
          <w:p w14:paraId="4A17D5D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120" w:before="120" w:line="360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000000"/>
                <w:sz w:val="22"/>
                <w:u w:val="none"/>
              </w:rPr>
              <w:t xml:space="preserve">&lt;journal-id&gt;, &lt;journal-title-group&gt;, &lt;issn&gt;, &lt;publisher&gt;.</w:t>
            </w:r>
            <w:r/>
          </w:p>
        </w:tc>
      </w:tr>
      <w:tr>
        <w:trPr>
          <w:trHeight w:val="0"/>
        </w:trPr>
        <w:tc>
          <w:tcPr>
            <w:tcBorders>
              <w:top w:val="single" w:color="cbd5e0" w:sz="6" w:space="0"/>
              <w:left w:val="single" w:color="cbd5e0" w:sz="6" w:space="0"/>
              <w:bottom w:val="single" w:color="cbd5e0" w:sz="6" w:space="0"/>
              <w:right w:val="single" w:color="cbd5e0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745" w:type="dxa"/>
            <w:vAlign w:val="top"/>
          </w:tcPr>
          <w:p w14:paraId="3B13D36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120" w:before="120" w:line="360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000000"/>
                <w:sz w:val="22"/>
                <w:u w:val="none"/>
              </w:rPr>
              <w:t xml:space="preserve">&lt;article-meta&gt;</w:t>
            </w:r>
            <w:r/>
          </w:p>
        </w:tc>
        <w:tc>
          <w:tcPr>
            <w:tcBorders>
              <w:top w:val="single" w:color="cbd5e0" w:sz="6" w:space="0"/>
              <w:left w:val="single" w:color="cbd5e0" w:sz="6" w:space="0"/>
              <w:bottom w:val="single" w:color="cbd5e0" w:sz="6" w:space="0"/>
              <w:right w:val="single" w:color="cbd5e0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745" w:type="dxa"/>
            <w:vAlign w:val="top"/>
          </w:tcPr>
          <w:p w14:paraId="705F353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120" w:before="120" w:line="360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000000"/>
                <w:sz w:val="22"/>
                <w:u w:val="none"/>
              </w:rPr>
              <w:t xml:space="preserve">Contenedor principal de los metadatos propios del artículo.</w:t>
            </w:r>
            <w:r/>
          </w:p>
        </w:tc>
        <w:tc>
          <w:tcPr>
            <w:tcBorders>
              <w:top w:val="single" w:color="cbd5e0" w:sz="6" w:space="0"/>
              <w:left w:val="single" w:color="cbd5e0" w:sz="6" w:space="0"/>
              <w:bottom w:val="single" w:color="cbd5e0" w:sz="6" w:space="0"/>
              <w:right w:val="single" w:color="cbd5e0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745" w:type="dxa"/>
            <w:vAlign w:val="top"/>
          </w:tcPr>
          <w:p w14:paraId="4EE415F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120" w:before="120" w:line="360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000000"/>
                <w:sz w:val="22"/>
                <w:u w:val="none"/>
              </w:rPr>
              <w:t xml:space="preserve">Alberga identificadores, títulos, autores, historial y resúmenes.</w:t>
            </w:r>
            <w:r/>
          </w:p>
        </w:tc>
      </w:tr>
      <w:tr>
        <w:trPr>
          <w:trHeight w:val="0"/>
        </w:trPr>
        <w:tc>
          <w:tcPr>
            <w:tcBorders>
              <w:top w:val="single" w:color="cbd5e0" w:sz="6" w:space="0"/>
              <w:left w:val="single" w:color="cbd5e0" w:sz="6" w:space="0"/>
              <w:bottom w:val="single" w:color="cbd5e0" w:sz="6" w:space="0"/>
              <w:right w:val="single" w:color="cbd5e0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745" w:type="dxa"/>
            <w:vAlign w:val="top"/>
          </w:tcPr>
          <w:p w14:paraId="76E8A7B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120" w:before="120" w:line="360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000000"/>
                <w:sz w:val="22"/>
                <w:u w:val="none"/>
              </w:rPr>
              <w:t xml:space="preserve">&lt;article-id&gt;</w:t>
            </w:r>
            <w:r/>
          </w:p>
        </w:tc>
        <w:tc>
          <w:tcPr>
            <w:tcBorders>
              <w:top w:val="single" w:color="cbd5e0" w:sz="6" w:space="0"/>
              <w:left w:val="single" w:color="cbd5e0" w:sz="6" w:space="0"/>
              <w:bottom w:val="single" w:color="cbd5e0" w:sz="6" w:space="0"/>
              <w:right w:val="single" w:color="cbd5e0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745" w:type="dxa"/>
            <w:vAlign w:val="top"/>
          </w:tcPr>
          <w:p w14:paraId="39F3F1C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120" w:before="120" w:line="360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000000"/>
                <w:sz w:val="22"/>
                <w:u w:val="none"/>
              </w:rPr>
              <w:t xml:space="preserve">Identificador único del artículo.</w:t>
            </w:r>
            <w:r/>
          </w:p>
        </w:tc>
        <w:tc>
          <w:tcPr>
            <w:tcBorders>
              <w:top w:val="single" w:color="cbd5e0" w:sz="6" w:space="0"/>
              <w:left w:val="single" w:color="cbd5e0" w:sz="6" w:space="0"/>
              <w:bottom w:val="single" w:color="cbd5e0" w:sz="6" w:space="0"/>
              <w:right w:val="single" w:color="cbd5e0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745" w:type="dxa"/>
            <w:vAlign w:val="top"/>
          </w:tcPr>
          <w:p w14:paraId="73D782E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120" w:before="120" w:line="360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000000"/>
                <w:sz w:val="22"/>
                <w:u w:val="none"/>
              </w:rPr>
              <w:t xml:space="preserve">Atributos comunes: pub-id-type="doi" o pub-id-type="publisher-id".</w:t>
            </w:r>
            <w:r/>
          </w:p>
        </w:tc>
      </w:tr>
      <w:tr>
        <w:trPr>
          <w:trHeight w:val="0"/>
        </w:trPr>
        <w:tc>
          <w:tcPr>
            <w:tcBorders>
              <w:top w:val="single" w:color="cbd5e0" w:sz="6" w:space="0"/>
              <w:left w:val="single" w:color="cbd5e0" w:sz="6" w:space="0"/>
              <w:bottom w:val="single" w:color="cbd5e0" w:sz="6" w:space="0"/>
              <w:right w:val="single" w:color="cbd5e0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745" w:type="dxa"/>
            <w:vAlign w:val="top"/>
          </w:tcPr>
          <w:p w14:paraId="1961B2C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120" w:before="120" w:line="360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000000"/>
                <w:sz w:val="22"/>
                <w:u w:val="none"/>
              </w:rPr>
              <w:t xml:space="preserve">&lt;title-group&gt;</w:t>
            </w:r>
            <w:r/>
          </w:p>
        </w:tc>
        <w:tc>
          <w:tcPr>
            <w:tcBorders>
              <w:top w:val="single" w:color="cbd5e0" w:sz="6" w:space="0"/>
              <w:left w:val="single" w:color="cbd5e0" w:sz="6" w:space="0"/>
              <w:bottom w:val="single" w:color="cbd5e0" w:sz="6" w:space="0"/>
              <w:right w:val="single" w:color="cbd5e0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745" w:type="dxa"/>
            <w:vAlign w:val="top"/>
          </w:tcPr>
          <w:p w14:paraId="41D78F9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120" w:before="120" w:line="360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000000"/>
                <w:sz w:val="22"/>
                <w:u w:val="none"/>
              </w:rPr>
              <w:t xml:space="preserve">Agrupa el título principal y sus traducciones.</w:t>
            </w:r>
            <w:r/>
          </w:p>
        </w:tc>
        <w:tc>
          <w:tcPr>
            <w:tcBorders>
              <w:top w:val="single" w:color="cbd5e0" w:sz="6" w:space="0"/>
              <w:left w:val="single" w:color="cbd5e0" w:sz="6" w:space="0"/>
              <w:bottom w:val="single" w:color="cbd5e0" w:sz="6" w:space="0"/>
              <w:right w:val="single" w:color="cbd5e0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745" w:type="dxa"/>
            <w:vAlign w:val="top"/>
          </w:tcPr>
          <w:p w14:paraId="45D10AC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120" w:before="120" w:line="360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000000"/>
                <w:sz w:val="22"/>
                <w:u w:val="none"/>
              </w:rPr>
              <w:t xml:space="preserve">&lt;article-title&gt;, &lt;trans-title-group&gt;.</w:t>
            </w:r>
            <w:r/>
          </w:p>
        </w:tc>
      </w:tr>
      <w:tr>
        <w:trPr>
          <w:trHeight w:val="0"/>
        </w:trPr>
        <w:tc>
          <w:tcPr>
            <w:tcBorders>
              <w:top w:val="single" w:color="cbd5e0" w:sz="6" w:space="0"/>
              <w:left w:val="single" w:color="cbd5e0" w:sz="6" w:space="0"/>
              <w:bottom w:val="single" w:color="cbd5e0" w:sz="6" w:space="0"/>
              <w:right w:val="single" w:color="cbd5e0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745" w:type="dxa"/>
            <w:vAlign w:val="top"/>
          </w:tcPr>
          <w:p w14:paraId="1DF6D05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120" w:before="120" w:line="360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000000"/>
                <w:sz w:val="22"/>
                <w:u w:val="none"/>
              </w:rPr>
              <w:t xml:space="preserve">&lt;contrib-group&gt;</w:t>
            </w:r>
            <w:r/>
          </w:p>
        </w:tc>
        <w:tc>
          <w:tcPr>
            <w:tcBorders>
              <w:top w:val="single" w:color="cbd5e0" w:sz="6" w:space="0"/>
              <w:left w:val="single" w:color="cbd5e0" w:sz="6" w:space="0"/>
              <w:bottom w:val="single" w:color="cbd5e0" w:sz="6" w:space="0"/>
              <w:right w:val="single" w:color="cbd5e0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745" w:type="dxa"/>
            <w:vAlign w:val="top"/>
          </w:tcPr>
          <w:p w14:paraId="1540066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120" w:before="120" w:line="360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000000"/>
                <w:sz w:val="22"/>
                <w:u w:val="none"/>
              </w:rPr>
              <w:t xml:space="preserve">Contenedor de autores y colaboradores.</w:t>
            </w:r>
            <w:r/>
          </w:p>
        </w:tc>
        <w:tc>
          <w:tcPr>
            <w:tcBorders>
              <w:top w:val="single" w:color="cbd5e0" w:sz="6" w:space="0"/>
              <w:left w:val="single" w:color="cbd5e0" w:sz="6" w:space="0"/>
              <w:bottom w:val="single" w:color="cbd5e0" w:sz="6" w:space="0"/>
              <w:right w:val="single" w:color="cbd5e0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745" w:type="dxa"/>
            <w:vAlign w:val="top"/>
          </w:tcPr>
          <w:p w14:paraId="5A3C15B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120" w:before="120" w:line="360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000000"/>
                <w:sz w:val="22"/>
                <w:u w:val="none"/>
              </w:rPr>
              <w:t xml:space="preserve">&lt;contrib contrib-type="author"&gt;, &lt;name&gt;, &lt;email&gt;, &lt;xref&gt;.</w:t>
            </w:r>
            <w:r/>
          </w:p>
        </w:tc>
      </w:tr>
      <w:tr>
        <w:trPr>
          <w:trHeight w:val="0"/>
        </w:trPr>
        <w:tc>
          <w:tcPr>
            <w:tcBorders>
              <w:top w:val="single" w:color="cbd5e0" w:sz="6" w:space="0"/>
              <w:left w:val="single" w:color="cbd5e0" w:sz="6" w:space="0"/>
              <w:bottom w:val="single" w:color="cbd5e0" w:sz="6" w:space="0"/>
              <w:right w:val="single" w:color="cbd5e0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745" w:type="dxa"/>
            <w:vAlign w:val="top"/>
          </w:tcPr>
          <w:p w14:paraId="24311E0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120" w:before="120" w:line="360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000000"/>
                <w:sz w:val="22"/>
                <w:u w:val="none"/>
              </w:rPr>
              <w:t xml:space="preserve">&lt;aff&gt;</w:t>
            </w:r>
            <w:r/>
          </w:p>
        </w:tc>
        <w:tc>
          <w:tcPr>
            <w:tcBorders>
              <w:top w:val="single" w:color="cbd5e0" w:sz="6" w:space="0"/>
              <w:left w:val="single" w:color="cbd5e0" w:sz="6" w:space="0"/>
              <w:bottom w:val="single" w:color="cbd5e0" w:sz="6" w:space="0"/>
              <w:right w:val="single" w:color="cbd5e0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745" w:type="dxa"/>
            <w:vAlign w:val="top"/>
          </w:tcPr>
          <w:p w14:paraId="1453F73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120" w:before="120" w:line="360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000000"/>
                <w:sz w:val="22"/>
                <w:u w:val="none"/>
              </w:rPr>
              <w:t xml:space="preserve">Afiliación institucional de los autores.</w:t>
            </w:r>
            <w:r/>
          </w:p>
        </w:tc>
        <w:tc>
          <w:tcPr>
            <w:tcBorders>
              <w:top w:val="single" w:color="cbd5e0" w:sz="6" w:space="0"/>
              <w:left w:val="single" w:color="cbd5e0" w:sz="6" w:space="0"/>
              <w:bottom w:val="single" w:color="cbd5e0" w:sz="6" w:space="0"/>
              <w:right w:val="single" w:color="cbd5e0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745" w:type="dxa"/>
            <w:vAlign w:val="top"/>
          </w:tcPr>
          <w:p w14:paraId="216F494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120" w:before="120" w:line="360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000000"/>
                <w:sz w:val="22"/>
                <w:u w:val="none"/>
              </w:rPr>
              <w:t xml:space="preserve">&lt;institution content-type="orgname"&gt;, &lt;addr-line&gt;, &lt;city&gt;, &lt;country&gt;.</w:t>
            </w:r>
            <w:r/>
          </w:p>
        </w:tc>
      </w:tr>
      <w:tr>
        <w:trPr>
          <w:trHeight w:val="0"/>
        </w:trPr>
        <w:tc>
          <w:tcPr>
            <w:tcBorders>
              <w:top w:val="single" w:color="cbd5e0" w:sz="6" w:space="0"/>
              <w:left w:val="single" w:color="cbd5e0" w:sz="6" w:space="0"/>
              <w:bottom w:val="single" w:color="cbd5e0" w:sz="6" w:space="0"/>
              <w:right w:val="single" w:color="cbd5e0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745" w:type="dxa"/>
            <w:vAlign w:val="top"/>
          </w:tcPr>
          <w:p w14:paraId="3878EAC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120" w:before="120" w:line="360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000000"/>
                <w:sz w:val="22"/>
                <w:u w:val="none"/>
              </w:rPr>
              <w:t xml:space="preserve">&lt;history&gt;</w:t>
            </w:r>
            <w:r/>
          </w:p>
        </w:tc>
        <w:tc>
          <w:tcPr>
            <w:tcBorders>
              <w:top w:val="single" w:color="cbd5e0" w:sz="6" w:space="0"/>
              <w:left w:val="single" w:color="cbd5e0" w:sz="6" w:space="0"/>
              <w:bottom w:val="single" w:color="cbd5e0" w:sz="6" w:space="0"/>
              <w:right w:val="single" w:color="cbd5e0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745" w:type="dxa"/>
            <w:vAlign w:val="top"/>
          </w:tcPr>
          <w:p w14:paraId="053C485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120" w:before="120" w:line="360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000000"/>
                <w:sz w:val="22"/>
                <w:u w:val="none"/>
              </w:rPr>
              <w:t xml:space="preserve">Ciclo de vida editorial del artículo.</w:t>
            </w:r>
            <w:r/>
          </w:p>
        </w:tc>
        <w:tc>
          <w:tcPr>
            <w:tcBorders>
              <w:top w:val="single" w:color="cbd5e0" w:sz="6" w:space="0"/>
              <w:left w:val="single" w:color="cbd5e0" w:sz="6" w:space="0"/>
              <w:bottom w:val="single" w:color="cbd5e0" w:sz="6" w:space="0"/>
              <w:right w:val="single" w:color="cbd5e0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745" w:type="dxa"/>
            <w:vAlign w:val="top"/>
          </w:tcPr>
          <w:p w14:paraId="340C100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120" w:before="120" w:line="360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000000"/>
                <w:sz w:val="22"/>
                <w:u w:val="none"/>
              </w:rPr>
              <w:t xml:space="preserve">&lt;date date-type="received"&gt;, rev-recd, accepted. Contiene &lt;day&gt;, &lt;month&gt;, &lt;year&gt;.</w:t>
            </w:r>
            <w:r/>
          </w:p>
        </w:tc>
      </w:tr>
      <w:tr>
        <w:trPr>
          <w:trHeight w:val="0"/>
        </w:trPr>
        <w:tc>
          <w:tcPr>
            <w:tcBorders>
              <w:top w:val="single" w:color="cbd5e0" w:sz="6" w:space="0"/>
              <w:left w:val="single" w:color="cbd5e0" w:sz="6" w:space="0"/>
              <w:bottom w:val="single" w:color="cbd5e0" w:sz="6" w:space="0"/>
              <w:right w:val="single" w:color="cbd5e0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745" w:type="dxa"/>
            <w:vAlign w:val="top"/>
          </w:tcPr>
          <w:p w14:paraId="7A5317D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120" w:before="120" w:line="360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000000"/>
                <w:sz w:val="22"/>
                <w:u w:val="none"/>
              </w:rPr>
              <w:t xml:space="preserve">&lt;abstract&gt;</w:t>
            </w:r>
            <w:r/>
          </w:p>
        </w:tc>
        <w:tc>
          <w:tcPr>
            <w:tcBorders>
              <w:top w:val="single" w:color="cbd5e0" w:sz="6" w:space="0"/>
              <w:left w:val="single" w:color="cbd5e0" w:sz="6" w:space="0"/>
              <w:bottom w:val="single" w:color="cbd5e0" w:sz="6" w:space="0"/>
              <w:right w:val="single" w:color="cbd5e0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745" w:type="dxa"/>
            <w:vAlign w:val="top"/>
          </w:tcPr>
          <w:p w14:paraId="788778E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120" w:before="120" w:line="360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000000"/>
                <w:sz w:val="22"/>
                <w:u w:val="none"/>
              </w:rPr>
              <w:t xml:space="preserve">Resumen ejecutivo del trabajo.</w:t>
            </w:r>
            <w:r/>
          </w:p>
        </w:tc>
        <w:tc>
          <w:tcPr>
            <w:tcBorders>
              <w:top w:val="single" w:color="cbd5e0" w:sz="6" w:space="0"/>
              <w:left w:val="single" w:color="cbd5e0" w:sz="6" w:space="0"/>
              <w:bottom w:val="single" w:color="cbd5e0" w:sz="6" w:space="0"/>
              <w:right w:val="single" w:color="cbd5e0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745" w:type="dxa"/>
            <w:vAlign w:val="top"/>
          </w:tcPr>
          <w:p w14:paraId="4BD543D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120" w:before="120" w:line="360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000000"/>
                <w:sz w:val="22"/>
                <w:u w:val="none"/>
              </w:rPr>
              <w:t xml:space="preserve">&lt;p&gt;. En resúmenes multilingües se usa xml:lang="en" / xml:lang="es".</w:t>
            </w:r>
            <w:r/>
          </w:p>
        </w:tc>
      </w:tr>
      <w:tr>
        <w:trPr>
          <w:trHeight w:val="0"/>
        </w:trPr>
        <w:tc>
          <w:tcPr>
            <w:tcBorders>
              <w:top w:val="single" w:color="cbd5e0" w:sz="6" w:space="0"/>
              <w:left w:val="single" w:color="cbd5e0" w:sz="6" w:space="0"/>
              <w:bottom w:val="single" w:color="cbd5e0" w:sz="6" w:space="0"/>
              <w:right w:val="single" w:color="cbd5e0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745" w:type="dxa"/>
            <w:vAlign w:val="top"/>
          </w:tcPr>
          <w:p w14:paraId="7CCEB38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120" w:before="120" w:line="360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000000"/>
                <w:sz w:val="22"/>
                <w:u w:val="none"/>
              </w:rPr>
              <w:t xml:space="preserve">&lt;kwd-group&gt;</w:t>
            </w:r>
            <w:r/>
          </w:p>
        </w:tc>
        <w:tc>
          <w:tcPr>
            <w:tcBorders>
              <w:top w:val="single" w:color="cbd5e0" w:sz="6" w:space="0"/>
              <w:left w:val="single" w:color="cbd5e0" w:sz="6" w:space="0"/>
              <w:bottom w:val="single" w:color="cbd5e0" w:sz="6" w:space="0"/>
              <w:right w:val="single" w:color="cbd5e0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745" w:type="dxa"/>
            <w:vAlign w:val="top"/>
          </w:tcPr>
          <w:p w14:paraId="724A5FC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120" w:before="120" w:line="360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000000"/>
                <w:sz w:val="22"/>
                <w:u w:val="none"/>
              </w:rPr>
              <w:t xml:space="preserve">Palabras clave.</w:t>
            </w:r>
            <w:r/>
          </w:p>
        </w:tc>
        <w:tc>
          <w:tcPr>
            <w:tcBorders>
              <w:top w:val="single" w:color="cbd5e0" w:sz="6" w:space="0"/>
              <w:left w:val="single" w:color="cbd5e0" w:sz="6" w:space="0"/>
              <w:bottom w:val="single" w:color="cbd5e0" w:sz="6" w:space="0"/>
              <w:right w:val="single" w:color="cbd5e0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745" w:type="dxa"/>
            <w:vAlign w:val="top"/>
          </w:tcPr>
          <w:p w14:paraId="67D5B19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120" w:before="120" w:line="360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000000"/>
                <w:sz w:val="22"/>
                <w:u w:val="none"/>
              </w:rPr>
              <w:t xml:space="preserve">&lt;kwd&gt;. Clasificadas por atributo xml:lang.</w:t>
            </w:r>
            <w:r/>
          </w:p>
        </w:tc>
      </w:tr>
    </w:tbl>
    <w:p w14:paraId="731A3D91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280" w:line="360" w:lineRule="auto"/>
        <w:ind w:right="0" w:firstLine="0" w:left="0"/>
        <w:rPr/>
      </w:pPr>
      <w:r>
        <w:rPr>
          <w:rFonts w:ascii="Arial" w:hAnsi="Arial" w:eastAsia="Arial" w:cs="Arial"/>
          <w:b/>
          <w:color w:val="2d3748"/>
          <w:sz w:val="26"/>
          <w:u w:val="none"/>
        </w:rPr>
        <w:t xml:space="preserve">Ejemplo de Fragmento XML &lt;front&gt; Conforme al Estándar</w:t>
      </w:r>
      <w:r/>
    </w:p>
    <w:p w14:paraId="198BFF1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510" w:before="150" w:line="360" w:lineRule="auto"/>
        <w:ind w:right="150" w:firstLine="0" w:left="150"/>
        <w:rPr/>
      </w:pPr>
      <w:r>
        <w:rPr>
          <w:rFonts w:ascii="Liberation Sans" w:hAnsi="Liberation Sans" w:eastAsia="Liberation Sans" w:cs="Liberation Sans"/>
          <w:color w:val="000000"/>
          <w:sz w:val="18"/>
          <w:highlight w:val="none"/>
          <w:u w:val="none"/>
        </w:rPr>
        <w:t xml:space="preserve">&lt;front&gt;  &lt;journal-meta&gt;    &lt;journal-id journal-id-type="publisher-id"&gt;RevistaSistemas&lt;/journal-id&gt;    &lt;issn pub-type="epub"&gt;2545-8124&lt;/issn&gt;  &lt;/journal-meta&gt;  &lt;article-meta&gt;    &lt;article-id pub-id-type="doi"&gt;10.12345/rs.v1i1.100&lt;/article-id&gt;    &lt;title-group</w:t>
      </w:r>
      <w:r>
        <w:rPr>
          <w:rFonts w:ascii="Liberation Sans" w:hAnsi="Liberation Sans" w:eastAsia="Liberation Sans" w:cs="Liberation Sans"/>
          <w:color w:val="000000"/>
          <w:sz w:val="18"/>
          <w:highlight w:val="none"/>
          <w:u w:val="none"/>
        </w:rPr>
        <w:t xml:space="preserve">&gt;      &lt;article-title&gt;Arquitectura de Parseo Automático para Documentos JATS&lt;/article-title&gt;      &lt;trans-title-group xml:lang="en"&gt;        &lt;trans-title&gt;Automated Parsing Architecture for JATS Documents&lt;/trans-title&gt;      &lt;/trans-title-group&gt;    &lt;/title-gro</w:t>
      </w:r>
      <w:r>
        <w:rPr>
          <w:rFonts w:ascii="Liberation Sans" w:hAnsi="Liberation Sans" w:eastAsia="Liberation Sans" w:cs="Liberation Sans"/>
          <w:color w:val="000000"/>
          <w:sz w:val="18"/>
          <w:highlight w:val="none"/>
          <w:u w:val="none"/>
        </w:rPr>
        <w:t xml:space="preserve">up&gt;    &lt;contrib-group&gt;      &lt;contrib contrib-type="author"&gt;        &lt;name&gt;          &lt;surname&gt;González&lt;/surname&gt;          &lt;given-names&gt;Juan&lt;/given-names&gt;        &lt;/name&gt;        &lt;xref ref-type="aff" rid="aff1"/&gt;      &lt;/contrib&gt;    &lt;/contrib-group&gt;    &lt;aff id="</w:t>
      </w:r>
      <w:r>
        <w:rPr>
          <w:rFonts w:ascii="Liberation Sans" w:hAnsi="Liberation Sans" w:eastAsia="Liberation Sans" w:cs="Liberation Sans"/>
          <w:color w:val="000000"/>
          <w:sz w:val="18"/>
          <w:highlight w:val="none"/>
          <w:u w:val="none"/>
        </w:rPr>
        <w:t xml:space="preserve">aff1"&gt;      &lt;institution content-type="orgname"&gt;Universidad Nacional de Lanús&lt;/institution&gt;      &lt;city&gt;Lanús&lt;/city&gt;      &lt;country country="AR"&gt;Argentina&lt;/country&gt;    &lt;/aff&gt;    &lt;history&gt;      &lt;date date-type="received"&gt;        &lt;day&gt;15&lt;/day&gt;        &lt;month&gt;03</w:t>
      </w:r>
      <w:r>
        <w:rPr>
          <w:rFonts w:ascii="Liberation Sans" w:hAnsi="Liberation Sans" w:eastAsia="Liberation Sans" w:cs="Liberation Sans"/>
          <w:color w:val="000000"/>
          <w:sz w:val="18"/>
          <w:highlight w:val="none"/>
          <w:u w:val="none"/>
        </w:rPr>
        <w:t xml:space="preserve">&lt;/month&gt;        &lt;year&gt;2025&lt;/year&gt;      &lt;/date&gt;      &lt;date date-type="accepted"&gt;        &lt;day&gt;10&lt;/day&gt;        &lt;month&gt;05&lt;/month&gt;        &lt;year&gt;2025&lt;/year&gt;      &lt;/date&gt;    &lt;/history&gt;    &lt;abstract xml:lang="es"&gt;      &lt;p&gt;Este artículo analiza las estrategias de a</w:t>
      </w:r>
      <w:r>
        <w:rPr>
          <w:rFonts w:ascii="Liberation Sans" w:hAnsi="Liberation Sans" w:eastAsia="Liberation Sans" w:cs="Liberation Sans"/>
          <w:color w:val="000000"/>
          <w:sz w:val="18"/>
          <w:highlight w:val="none"/>
          <w:u w:val="none"/>
        </w:rPr>
        <w:t xml:space="preserve">nálisis sintáctico...&lt;/p&gt;    &lt;/abstract&gt;    &lt;kwd-group xml:lang="es"&gt;      &lt;kwd&gt;JATS XML&lt;/kwd&gt;      &lt;kwd&gt;Ingesta de datos&lt;/kwd&gt;    &lt;/kwd-group&gt;  &lt;/article-meta&gt;&lt;/front&gt;</w:t>
      </w:r>
      <w:r/>
    </w:p>
    <w:p w14:paraId="55DB937E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0" w:line="360" w:lineRule="auto"/>
        <w:ind w:right="0" w:firstLine="0" w:left="0"/>
        <w:rPr/>
      </w:pPr>
      <w:r>
        <w:rPr>
          <w:rFonts w:ascii="Arial" w:hAnsi="Arial" w:eastAsia="Arial" w:cs="Arial"/>
          <w:b/>
          <w:color w:val="2b6cb0"/>
          <w:sz w:val="32"/>
          <w:u w:val="none"/>
        </w:rPr>
        <w:t xml:space="preserve">3. Análisis de Puntos de Falla en el Parser Automatizado (DOCX a JATS XML)</w:t>
      </w:r>
      <w:r/>
    </w:p>
    <w:p w14:paraId="02F3F39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2"/>
          <w:u w:val="none"/>
        </w:rPr>
        <w:t xml:space="preserve">La conversión de archivos no estructurados o semiestructurados (como Word `.docx`) hacia el formato JATS estricto suele enfrentar problemas recurrentes en la lógica de extracción. A continuación se detallan las principales fallas detectadas:</w:t>
      </w:r>
      <w:r/>
    </w:p>
    <w:p w14:paraId="17953D81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360" w:lineRule="auto"/>
        <w:ind w:right="0" w:firstLine="0" w:left="0"/>
        <w:rPr/>
      </w:pPr>
      <w:r>
        <w:rPr>
          <w:rFonts w:ascii="Arial" w:hAnsi="Arial" w:eastAsia="Arial" w:cs="Arial"/>
          <w:b/>
          <w:color w:val="2d3748"/>
          <w:sz w:val="26"/>
          <w:u w:val="none"/>
        </w:rPr>
        <w:t xml:space="preserve">Falla 1: Rigidez en Expresiones Regulares para Historia Editorial</w:t>
      </w:r>
      <w:r/>
    </w:p>
    <w:p w14:paraId="4270C6A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/>
        <w:rPr/>
      </w:pPr>
      <w:r>
        <w:rPr>
          <w:rFonts w:ascii="Arial" w:hAnsi="Arial" w:eastAsia="Arial" w:cs="Arial"/>
          <w:b/>
          <w:color w:val="000000"/>
          <w:sz w:val="22"/>
          <w:u w:val="none"/>
        </w:rPr>
        <w:t xml:space="preserve">Problema:</w:t>
      </w:r>
      <w:r>
        <w:rPr>
          <w:rFonts w:ascii="Arial" w:hAnsi="Arial" w:eastAsia="Arial" w:cs="Arial"/>
          <w:color w:val="000000"/>
          <w:sz w:val="22"/>
          <w:u w:val="none"/>
        </w:rPr>
        <w:t xml:space="preserve"> Las reglas de extracción asumen formatos rígidos como Recibido: 12 oct 2023. Si el documento fuente presenta variaciones de espacio (Recibido : 12 oct 2023.), variaciones de puntuación (puntos finales en año o mes) o variaciones tipográficas, el comparado</w:t>
      </w:r>
      <w:r>
        <w:rPr>
          <w:rFonts w:ascii="Arial" w:hAnsi="Arial" w:eastAsia="Arial" w:cs="Arial"/>
          <w:color w:val="000000"/>
          <w:sz w:val="22"/>
          <w:u w:val="none"/>
        </w:rPr>
        <w:t xml:space="preserve">r no hace match y la fecha se ignora silenciosamente.</w:t>
      </w:r>
      <w:r/>
    </w:p>
    <w:p w14:paraId="0090C6A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80" w:before="0" w:line="360" w:lineRule="auto"/>
        <w:ind w:right="0"/>
        <w:rPr/>
      </w:pPr>
      <w:r>
        <w:rPr>
          <w:rFonts w:ascii="Arial" w:hAnsi="Arial" w:eastAsia="Arial" w:cs="Arial"/>
          <w:b/>
          <w:color w:val="000000"/>
          <w:sz w:val="22"/>
          <w:u w:val="none"/>
        </w:rPr>
        <w:t xml:space="preserve">Efecto en JATS:</w:t>
      </w:r>
      <w:r>
        <w:rPr>
          <w:rFonts w:ascii="Arial" w:hAnsi="Arial" w:eastAsia="Arial" w:cs="Arial"/>
          <w:color w:val="000000"/>
          <w:sz w:val="22"/>
          <w:u w:val="none"/>
        </w:rPr>
        <w:t xml:space="preserve"> Ausencia del nodo &lt;history&gt; o generación de bloques de fecha incompletos (por ejemplo, omitiendo &lt;month&gt;), lo cual invalida la rigidez del esquema XML.</w:t>
      </w:r>
      <w:r/>
    </w:p>
    <w:p w14:paraId="3DCEF9FE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280" w:line="360" w:lineRule="auto"/>
        <w:ind w:right="0" w:firstLine="0" w:left="0"/>
        <w:rPr/>
      </w:pPr>
      <w:r>
        <w:rPr>
          <w:rFonts w:ascii="Arial" w:hAnsi="Arial" w:eastAsia="Arial" w:cs="Arial"/>
          <w:b/>
          <w:color w:val="2d3748"/>
          <w:sz w:val="26"/>
          <w:u w:val="none"/>
        </w:rPr>
        <w:t xml:space="preserve">Falla 2: Descomposición Frágil de Afiliaciones e UbicaciónGeográfica</w:t>
      </w:r>
      <w:r/>
    </w:p>
    <w:p w14:paraId="24FB443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/>
        <w:rPr/>
      </w:pPr>
      <w:r>
        <w:rPr>
          <w:rFonts w:ascii="Arial" w:hAnsi="Arial" w:eastAsia="Arial" w:cs="Arial"/>
          <w:b/>
          <w:color w:val="000000"/>
          <w:sz w:val="22"/>
          <w:u w:val="none"/>
        </w:rPr>
        <w:t xml:space="preserve">Problema:</w:t>
      </w:r>
      <w:r>
        <w:rPr>
          <w:rFonts w:ascii="Arial" w:hAnsi="Arial" w:eastAsia="Arial" w:cs="Arial"/>
          <w:color w:val="000000"/>
          <w:sz w:val="22"/>
          <w:u w:val="none"/>
        </w:rPr>
        <w:t xml:space="preserve"> El patrón de extracción de ciudad y país busca un formato estricto delimitado por comas y cerrado opcionalmente por punto (ej. , Lanús, Argentina.). Cuando los autores omiten la última coma, agregan un código postal o no colocan punto final, el parser no </w:t>
      </w:r>
      <w:r>
        <w:rPr>
          <w:rFonts w:ascii="Arial" w:hAnsi="Arial" w:eastAsia="Arial" w:cs="Arial"/>
          <w:color w:val="000000"/>
          <w:sz w:val="22"/>
          <w:u w:val="none"/>
        </w:rPr>
        <w:t xml:space="preserve">logra extraer las entidades separadas.</w:t>
      </w:r>
      <w:r/>
    </w:p>
    <w:p w14:paraId="09D1B32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80" w:before="0" w:line="360" w:lineRule="auto"/>
        <w:ind w:right="0"/>
        <w:rPr/>
      </w:pPr>
      <w:r>
        <w:rPr>
          <w:rFonts w:ascii="Arial" w:hAnsi="Arial" w:eastAsia="Arial" w:cs="Arial"/>
          <w:b/>
          <w:color w:val="000000"/>
          <w:sz w:val="22"/>
          <w:u w:val="none"/>
        </w:rPr>
        <w:t xml:space="preserve">Efecto en JATS:</w:t>
      </w:r>
      <w:r>
        <w:rPr>
          <w:rFonts w:ascii="Arial" w:hAnsi="Arial" w:eastAsia="Arial" w:cs="Arial"/>
          <w:color w:val="000000"/>
          <w:sz w:val="22"/>
          <w:u w:val="none"/>
        </w:rPr>
        <w:t xml:space="preserve"> Toda la cadena termina dentro de un texto plano en &lt;aff&gt; sin las subetiquetas semánticas requeridas (&lt;institution&gt;, &lt;city&gt;, &lt;country&gt;).</w:t>
      </w:r>
      <w:r/>
    </w:p>
    <w:p w14:paraId="216A9118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280" w:line="360" w:lineRule="auto"/>
        <w:ind w:right="0" w:firstLine="0" w:left="0"/>
        <w:rPr/>
      </w:pPr>
      <w:r>
        <w:rPr>
          <w:rFonts w:ascii="Arial" w:hAnsi="Arial" w:eastAsia="Arial" w:cs="Arial"/>
          <w:b/>
          <w:color w:val="2d3748"/>
          <w:sz w:val="26"/>
          <w:u w:val="none"/>
        </w:rPr>
        <w:t xml:space="preserve">Falla 3: Incoherencia en la Manipulación de Formato Inline (Runs)</w:t>
      </w:r>
      <w:r/>
    </w:p>
    <w:p w14:paraId="7B5485A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/>
        <w:rPr/>
      </w:pPr>
      <w:r>
        <w:rPr>
          <w:rFonts w:ascii="Arial" w:hAnsi="Arial" w:eastAsia="Arial" w:cs="Arial"/>
          <w:b/>
          <w:color w:val="000000"/>
          <w:sz w:val="22"/>
          <w:u w:val="none"/>
        </w:rPr>
        <w:t xml:space="preserve">Problema:</w:t>
      </w:r>
      <w:r>
        <w:rPr>
          <w:rFonts w:ascii="Arial" w:hAnsi="Arial" w:eastAsia="Arial" w:cs="Arial"/>
          <w:color w:val="000000"/>
          <w:sz w:val="22"/>
          <w:u w:val="none"/>
        </w:rPr>
        <w:t xml:space="preserve"> La eliminación manual de caracteres decorativos (como dos puntos iniciales : o espacios) modificando índices directos sobre la lista de nodos secundarios sin actualizar el contenedor principal (Para) crea un desacople de datos.</w:t>
      </w:r>
      <w:r/>
    </w:p>
    <w:p w14:paraId="32FFC5D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80" w:before="0" w:line="360" w:lineRule="auto"/>
        <w:ind w:right="0"/>
        <w:rPr/>
      </w:pPr>
      <w:r>
        <w:rPr>
          <w:rFonts w:ascii="Arial" w:hAnsi="Arial" w:eastAsia="Arial" w:cs="Arial"/>
          <w:b/>
          <w:color w:val="000000"/>
          <w:sz w:val="22"/>
          <w:u w:val="none"/>
        </w:rPr>
        <w:t xml:space="preserve">Efecto en JATS:</w:t>
      </w:r>
      <w:r>
        <w:rPr>
          <w:rFonts w:ascii="Arial" w:hAnsi="Arial" w:eastAsia="Arial" w:cs="Arial"/>
          <w:color w:val="000000"/>
          <w:sz w:val="22"/>
          <w:u w:val="none"/>
        </w:rPr>
        <w:t xml:space="preserve"> Al generar nodos con hipervínculos (&lt;ext-link&gt;) o dar formato de negrita/cursiva (&lt;bold&gt;, &lt;italic&gt;), el texto renderizado conserva marcas indeseadas o pierde consistencia con los atributos capturados.</w:t>
      </w:r>
      <w:r/>
    </w:p>
    <w:p w14:paraId="6B1D3845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280" w:line="360" w:lineRule="auto"/>
        <w:ind w:right="0" w:firstLine="0" w:left="0"/>
        <w:rPr/>
      </w:pPr>
      <w:r>
        <w:rPr>
          <w:rFonts w:ascii="Arial" w:hAnsi="Arial" w:eastAsia="Arial" w:cs="Arial"/>
          <w:b/>
          <w:color w:val="2d3748"/>
          <w:sz w:val="26"/>
          <w:u w:val="none"/>
        </w:rPr>
        <w:t xml:space="preserve">Falla 4: Desbordamiento de Índice por Cadenas Vacías (Unsafe Substring)</w:t>
      </w:r>
      <w:r/>
    </w:p>
    <w:p w14:paraId="4896092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/>
        <w:rPr/>
      </w:pPr>
      <w:r>
        <w:rPr>
          <w:rFonts w:ascii="Arial" w:hAnsi="Arial" w:eastAsia="Arial" w:cs="Arial"/>
          <w:b/>
          <w:color w:val="000000"/>
          <w:sz w:val="22"/>
          <w:u w:val="none"/>
        </w:rPr>
        <w:t xml:space="preserve">Problema:</w:t>
      </w:r>
      <w:r>
        <w:rPr>
          <w:rFonts w:ascii="Arial" w:hAnsi="Arial" w:eastAsia="Arial" w:cs="Arial"/>
          <w:color w:val="000000"/>
          <w:sz w:val="22"/>
          <w:u w:val="none"/>
        </w:rPr>
        <w:t xml:space="preserve"> Al intentar normalizar los meses (convertir "Ene", "Enero" a un número de dos dígitos "01") aplicando recortes de longitud fija sobre capturas de expresiones regulares, la presencia de valores nulos o cadenas vacías dispara excepciones del tipo IndexOutOf</w:t>
      </w:r>
      <w:r>
        <w:rPr>
          <w:rFonts w:ascii="Arial" w:hAnsi="Arial" w:eastAsia="Arial" w:cs="Arial"/>
          <w:color w:val="000000"/>
          <w:sz w:val="22"/>
          <w:u w:val="none"/>
        </w:rPr>
        <w:t xml:space="preserve">BoundsException o NullPointerException.</w:t>
      </w:r>
      <w:r/>
    </w:p>
    <w:p w14:paraId="207FC10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80" w:before="0" w:line="360" w:lineRule="auto"/>
        <w:ind w:right="0"/>
        <w:rPr/>
      </w:pPr>
      <w:r>
        <w:rPr>
          <w:rFonts w:ascii="Arial" w:hAnsi="Arial" w:eastAsia="Arial" w:cs="Arial"/>
          <w:b/>
          <w:color w:val="000000"/>
          <w:sz w:val="22"/>
          <w:u w:val="none"/>
        </w:rPr>
        <w:t xml:space="preserve">Efecto en JATS:</w:t>
      </w:r>
      <w:r>
        <w:rPr>
          <w:rFonts w:ascii="Arial" w:hAnsi="Arial" w:eastAsia="Arial" w:cs="Arial"/>
          <w:color w:val="000000"/>
          <w:sz w:val="22"/>
          <w:u w:val="none"/>
        </w:rPr>
        <w:t xml:space="preserve"> Interrupción abrupta del proceso de ingesta de todo el documento.</w:t>
      </w:r>
      <w:r/>
    </w:p>
    <w:p w14:paraId="097A6BC3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360" w:line="360" w:lineRule="auto"/>
        <w:ind w:right="0" w:firstLine="0" w:left="0"/>
        <w:rPr/>
      </w:pPr>
      <w:r>
        <w:rPr>
          <w:rFonts w:ascii="Arial" w:hAnsi="Arial" w:eastAsia="Arial" w:cs="Arial"/>
          <w:b/>
          <w:color w:val="2b6cb0"/>
          <w:sz w:val="32"/>
          <w:u w:val="none"/>
        </w:rPr>
        <w:t xml:space="preserve">4. Buenas Prácticas para la Robustecimiento del Procesamiento</w:t>
      </w:r>
      <w:r/>
    </w:p>
    <w:p w14:paraId="38755422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Arial" w:hAnsi="Arial" w:eastAsia="Arial" w:cs="Arial"/>
          <w:b/>
          <w:color w:val="000000"/>
          <w:sz w:val="22"/>
          <w:u w:val="none"/>
        </w:rPr>
        <w:t xml:space="preserve">Tokenización Lexical sobre Regex Estrictos:</w:t>
      </w:r>
      <w:r>
        <w:rPr>
          <w:rFonts w:ascii="Arial" w:hAnsi="Arial" w:eastAsia="Arial" w:cs="Arial"/>
          <w:color w:val="000000"/>
          <w:sz w:val="22"/>
          <w:u w:val="none"/>
        </w:rPr>
        <w:t xml:space="preserve"> Implementar tokenización flexible para cadenas de fechas y ubicaciones, reduciendo la dependencia de coincidencia exacta con expresiones regulares.</w:t>
      </w:r>
      <w:r/>
    </w:p>
    <w:p w14:paraId="4CF39B89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/>
        <w:rPr/>
      </w:pPr>
      <w:r>
        <w:rPr>
          <w:rFonts w:ascii="Arial" w:hAnsi="Arial" w:eastAsia="Arial" w:cs="Arial"/>
          <w:b/>
          <w:color w:val="000000"/>
          <w:sz w:val="22"/>
          <w:u w:val="none"/>
        </w:rPr>
        <w:t xml:space="preserve">Normalización Prévia de Cadenas:</w:t>
      </w:r>
      <w:r>
        <w:rPr>
          <w:rFonts w:ascii="Arial" w:hAnsi="Arial" w:eastAsia="Arial" w:cs="Arial"/>
          <w:color w:val="000000"/>
          <w:sz w:val="22"/>
          <w:u w:val="none"/>
        </w:rPr>
        <w:t xml:space="preserve"> Limpiar caracteres no imprimibles, espacios múltiples y puntuación inicial/final antes de clasificar las líneas del documento.</w:t>
      </w:r>
      <w:r/>
    </w:p>
    <w:p w14:paraId="4711E677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80" w:before="0" w:line="360" w:lineRule="auto"/>
        <w:ind w:right="0"/>
        <w:rPr/>
      </w:pPr>
      <w:r>
        <w:rPr>
          <w:rFonts w:ascii="Arial" w:hAnsi="Arial" w:eastAsia="Arial" w:cs="Arial"/>
          <w:b/>
          <w:color w:val="000000"/>
          <w:sz w:val="22"/>
          <w:u w:val="none"/>
        </w:rPr>
        <w:t xml:space="preserve">Manejo Seguro de Nulos y Mapeos:</w:t>
      </w:r>
      <w:r>
        <w:rPr>
          <w:rFonts w:ascii="Arial" w:hAnsi="Arial" w:eastAsia="Arial" w:cs="Arial"/>
          <w:color w:val="000000"/>
          <w:sz w:val="22"/>
          <w:u w:val="none"/>
        </w:rPr>
        <w:t xml:space="preserve"> Utilizar métodos con valores por defecto (como getOrDefault) e inspeccionar siempre la longitud de los grupos capturados antes de aplicar operaciones de subcadena.</w:t>
      </w:r>
      <w:r/>
    </w:p>
    <w:p w14:paraId="212BC355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80" w:before="80" w:line="360" w:lineRule="auto"/>
        <w:ind w:right="0"/>
        <w:rPr/>
      </w:pPr>
      <w:r>
        <w:rPr>
          <w:rFonts w:ascii="Arial" w:hAnsi="Arial" w:eastAsia="Arial" w:cs="Arial"/>
          <w:b/>
          <w:color w:val="000000"/>
          <w:sz w:val="22"/>
          <w:u w:val="none"/>
        </w:rPr>
        <w:t xml:space="preserve">Validación Schema Post-Generación:</w:t>
      </w:r>
      <w:r>
        <w:rPr>
          <w:rFonts w:ascii="Arial" w:hAnsi="Arial" w:eastAsia="Arial" w:cs="Arial"/>
          <w:color w:val="000000"/>
          <w:sz w:val="22"/>
          <w:u w:val="none"/>
        </w:rPr>
        <w:t xml:space="preserve"> Verificar el XML resultante mediante un validador DTD/XSD oficial de JATS para garantizar la presencia de todos los elementos requeridos en el &lt;front&gt; antes de ser almacenados o enviados a OJS.</w:t>
      </w:r>
      <w:r/>
    </w:p>
    <w:p>
      <w:pPr>
        <w:pBdr/>
        <w:spacing/>
        <w:ind/>
        <w:rPr/>
      </w:pPr>
      <w:r/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iberation Sans">
    <w:panose1 w:val="020B06040202020202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1C206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30322A02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2026-08-24T19:44:16Z</dcterms:modified>
</cp:coreProperties>
</file>