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_rels/footnote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theme/theme1.xml" ContentType="application/vnd.openxmlformats-officedocument.theme+xml"/>
  <Override PartName="/word/styles.xml" ContentType="application/vnd.openxmlformats-officedocument.wordprocessingml.styles+xml"/>
  <Override PartName="/word/footnotes.xml" ContentType="application/vnd.openxmlformats-officedocument.wordprocessingml.footnote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pPr>
      <w:r>
        <w:rPr/>
        <w:t>Phase 3 Evaluation: Fallahi Dataset</w:t>
      </w:r>
    </w:p>
    <w:p>
      <w:pPr>
        <w:pStyle w:val="Normal"/>
        <w:rPr/>
      </w:pPr>
      <w:r>
        <w:rPr/>
        <w:t>Below are 5 biological findings for explanation from Fallahi-Sichani et al. (2015)</w:t>
      </w:r>
      <w:r>
        <w:rPr>
          <w:rStyle w:val="FootnoteAnchor"/>
        </w:rPr>
        <w:footnoteReference w:id="2"/>
      </w:r>
      <w:r>
        <w:rPr/>
        <w:t>. We ask that you produce mechanistic explanations for the first finding and at least one of the other four biological findings. For each finding, we have provided a figure. Data for use with this evaluation are available on MITRE’s Big Mechanism Handshake page</w:t>
      </w:r>
      <w:r>
        <w:rPr>
          <w:rStyle w:val="FootnoteAnchor"/>
        </w:rPr>
        <w:footnoteReference w:id="3"/>
      </w:r>
      <w:r>
        <w:rPr/>
        <w:t>. The first submission on this data set will be due on September 15</w:t>
      </w:r>
      <w:r>
        <w:rPr>
          <w:vertAlign w:val="superscript"/>
        </w:rPr>
        <w:t>th</w:t>
      </w:r>
      <w:r>
        <w:rPr/>
        <w:t>, 2017. There will be one additional iteration and submission using this data set due before the PI meeting.</w:t>
      </w:r>
    </w:p>
    <w:p>
      <w:pPr>
        <w:pStyle w:val="Normal"/>
        <w:rPr/>
      </w:pPr>
      <w:r>
        <w:rPr/>
      </w:r>
    </w:p>
    <w:p>
      <w:pPr>
        <w:pStyle w:val="Normal"/>
        <w:rPr/>
      </w:pPr>
      <w:r>
        <w:rPr/>
        <w:t>Explanations of findings should be derived from one model per submission, with differences in parameterization for each cell line based on data about the cell line (mutations, gene expression, and other information). These differences may include turning off interactions, changes in interaction strengths, etc. If an interaction is present in any cell line, it should show up in the complete model.</w:t>
      </w:r>
    </w:p>
    <w:p>
      <w:pPr>
        <w:pStyle w:val="Normal"/>
        <w:rPr/>
      </w:pPr>
      <w:r>
        <w:rPr/>
      </w:r>
    </w:p>
    <w:p>
      <w:pPr>
        <w:pStyle w:val="Normal"/>
        <w:rPr/>
      </w:pPr>
      <w:r>
        <w:rPr/>
        <w:t>Each submission should include:</w:t>
      </w:r>
    </w:p>
    <w:p>
      <w:pPr>
        <w:pStyle w:val="Normal"/>
        <w:rPr/>
      </w:pPr>
      <w:r>
        <w:rPr/>
      </w:r>
    </w:p>
    <w:p>
      <w:pPr>
        <w:pStyle w:val="ListParagraph"/>
        <w:numPr>
          <w:ilvl w:val="0"/>
          <w:numId w:val="1"/>
        </w:numPr>
        <w:rPr/>
      </w:pPr>
      <w:r>
        <w:rPr/>
        <w:t>A summary of the methods used to generate the model.</w:t>
      </w:r>
    </w:p>
    <w:p>
      <w:pPr>
        <w:pStyle w:val="ListParagraph"/>
        <w:numPr>
          <w:ilvl w:val="0"/>
          <w:numId w:val="1"/>
        </w:numPr>
        <w:rPr/>
      </w:pPr>
      <w:r>
        <w:rPr/>
        <w:t>Files containing all interactions in your model and parameterizations that you make for each cell line. This data should be in machine-readable format. As before, all interactions in your model should be provided with provenance and evidence (PubMed ID and text in the case of machine reading, database identifiers if taken from public resources). For reading, include whether human curation or machine reading was performed.</w:t>
      </w:r>
    </w:p>
    <w:p>
      <w:pPr>
        <w:pStyle w:val="ListParagraph"/>
        <w:numPr>
          <w:ilvl w:val="0"/>
          <w:numId w:val="1"/>
        </w:numPr>
        <w:rPr/>
      </w:pPr>
      <w:r>
        <w:rPr/>
        <w:t>A table or tab-delimited file showing the model output for the findings and how they compare with the experimental results.</w:t>
      </w:r>
    </w:p>
    <w:p>
      <w:pPr>
        <w:pStyle w:val="ListParagraph"/>
        <w:numPr>
          <w:ilvl w:val="0"/>
          <w:numId w:val="1"/>
        </w:numPr>
        <w:rPr/>
      </w:pPr>
      <w:r>
        <w:rPr/>
        <w:t>For each perturbation/measurement pair, the pathway(s) in the model from the perturbation to the measured output that explain the observation.</w:t>
      </w:r>
    </w:p>
    <w:p>
      <w:pPr>
        <w:pStyle w:val="ListParagraph"/>
        <w:numPr>
          <w:ilvl w:val="0"/>
          <w:numId w:val="1"/>
        </w:numPr>
        <w:rPr/>
      </w:pPr>
      <w:r>
        <w:rPr/>
        <w:t>For each explanation about cell line differences, a brief summary of the differences between the model parameters (initial conditions, interaction “on/off states”, etc.) responsible for the findings.</w:t>
      </w:r>
    </w:p>
    <w:p>
      <w:pPr>
        <w:pStyle w:val="Normal"/>
        <w:rPr/>
      </w:pPr>
      <w:r>
        <w:rPr/>
      </w:r>
    </w:p>
    <w:p>
      <w:pPr>
        <w:pStyle w:val="Normal"/>
        <w:spacing w:lineRule="auto" w:line="259" w:before="0" w:after="160"/>
        <w:rPr/>
      </w:pPr>
      <w:r>
        <w:rPr/>
        <w:t>The five findings involve:</w:t>
      </w:r>
    </w:p>
    <w:p>
      <w:pPr>
        <w:pStyle w:val="ListParagraph"/>
        <w:numPr>
          <w:ilvl w:val="0"/>
          <w:numId w:val="2"/>
        </w:numPr>
        <w:spacing w:lineRule="auto" w:line="259" w:before="0" w:after="160"/>
        <w:contextualSpacing/>
        <w:rPr/>
      </w:pPr>
      <w:r>
        <w:rPr/>
        <w:t>6 cell lines</w:t>
      </w:r>
    </w:p>
    <w:p>
      <w:pPr>
        <w:pStyle w:val="ListParagraph"/>
        <w:numPr>
          <w:ilvl w:val="0"/>
          <w:numId w:val="2"/>
        </w:numPr>
        <w:spacing w:lineRule="auto" w:line="259" w:before="0" w:after="160"/>
        <w:contextualSpacing/>
        <w:rPr/>
      </w:pPr>
      <w:r>
        <w:rPr/>
        <w:t>5 drugs</w:t>
      </w:r>
    </w:p>
    <w:p>
      <w:pPr>
        <w:pStyle w:val="ListParagraph"/>
        <w:numPr>
          <w:ilvl w:val="1"/>
          <w:numId w:val="2"/>
        </w:numPr>
        <w:spacing w:lineRule="auto" w:line="259" w:before="0" w:after="160"/>
        <w:contextualSpacing/>
        <w:rPr/>
      </w:pPr>
      <w:r>
        <w:rPr/>
        <w:t>4 RAF inhibitors (AZ628, PLX4720, SB590885, vemurafenib)</w:t>
      </w:r>
    </w:p>
    <w:p>
      <w:pPr>
        <w:pStyle w:val="ListParagraph"/>
        <w:numPr>
          <w:ilvl w:val="1"/>
          <w:numId w:val="2"/>
        </w:numPr>
        <w:spacing w:lineRule="auto" w:line="259" w:before="0" w:after="160"/>
        <w:contextualSpacing/>
        <w:rPr/>
      </w:pPr>
      <w:r>
        <w:rPr/>
        <w:t>1 MEK inhibitor (selumetinib)</w:t>
      </w:r>
    </w:p>
    <w:p>
      <w:pPr>
        <w:pStyle w:val="ListParagraph"/>
        <w:numPr>
          <w:ilvl w:val="0"/>
          <w:numId w:val="2"/>
        </w:numPr>
        <w:spacing w:lineRule="auto" w:line="259" w:before="0" w:after="160"/>
        <w:contextualSpacing/>
        <w:rPr/>
      </w:pPr>
      <w:r>
        <w:rPr/>
        <w:t>7 different concentrations of drugs</w:t>
      </w:r>
    </w:p>
    <w:p>
      <w:pPr>
        <w:pStyle w:val="ListParagraph"/>
        <w:numPr>
          <w:ilvl w:val="0"/>
          <w:numId w:val="2"/>
        </w:numPr>
        <w:spacing w:lineRule="auto" w:line="259" w:before="0" w:after="160"/>
        <w:contextualSpacing/>
        <w:rPr/>
      </w:pPr>
      <w:r>
        <w:rPr/>
        <w:t>Measurements at 5 time points (1, 5, 10, 24, and 48 hours)</w:t>
      </w:r>
    </w:p>
    <w:p>
      <w:pPr>
        <w:pStyle w:val="ListParagraph"/>
        <w:numPr>
          <w:ilvl w:val="0"/>
          <w:numId w:val="2"/>
        </w:numPr>
        <w:spacing w:lineRule="auto" w:line="259" w:before="0" w:after="160"/>
        <w:contextualSpacing/>
        <w:rPr/>
      </w:pPr>
      <w:r>
        <w:rPr/>
        <w:t>Measurements of 4 different phosphorylated proteins and total c-Jun</w:t>
      </w:r>
    </w:p>
    <w:p>
      <w:pPr>
        <w:pStyle w:val="ListParagraph"/>
        <w:spacing w:lineRule="auto" w:line="259" w:before="0" w:after="160"/>
        <w:ind w:left="0" w:hanging="0"/>
        <w:contextualSpacing/>
        <w:rPr>
          <w:b/>
          <w:b/>
        </w:rPr>
      </w:pPr>
      <w:r>
        <w:rPr>
          <w:b/>
        </w:rPr>
      </w:r>
    </w:p>
    <w:p>
      <w:pPr>
        <w:pStyle w:val="ListParagraph"/>
        <w:spacing w:lineRule="auto" w:line="259" w:before="0" w:after="160"/>
        <w:ind w:left="0" w:hanging="0"/>
        <w:contextualSpacing/>
        <w:rPr>
          <w:b/>
          <w:b/>
        </w:rPr>
      </w:pPr>
      <w:r>
        <w:rPr>
          <w:b/>
        </w:rPr>
        <w:t>Findings to Explain</w:t>
      </w:r>
    </w:p>
    <w:tbl>
      <w:tblPr>
        <w:tblW w:w="9440" w:type="dxa"/>
        <w:jc w:val="left"/>
        <w:tblInd w:w="0" w:type="dxa"/>
        <w:tblBorders>
          <w:top w:val="single" w:sz="4" w:space="0" w:color="00000A"/>
          <w:left w:val="single" w:sz="4" w:space="0" w:color="00000A"/>
          <w:bottom w:val="single" w:sz="4" w:space="0" w:color="00000A"/>
          <w:right w:val="single" w:sz="8" w:space="0" w:color="A3A3A3"/>
          <w:insideH w:val="single" w:sz="4" w:space="0" w:color="00000A"/>
          <w:insideV w:val="single" w:sz="8" w:space="0" w:color="A3A3A3"/>
        </w:tblBorders>
        <w:tblCellMar>
          <w:top w:w="0" w:type="dxa"/>
          <w:left w:w="-5" w:type="dxa"/>
          <w:bottom w:w="0" w:type="dxa"/>
          <w:right w:w="0" w:type="dxa"/>
        </w:tblCellMar>
        <w:tblLook w:val="04a0" w:noVBand="1" w:noHBand="0" w:lastColumn="0" w:firstColumn="1" w:lastRow="0" w:firstRow="1"/>
      </w:tblPr>
      <w:tblGrid>
        <w:gridCol w:w="975"/>
        <w:gridCol w:w="812"/>
        <w:gridCol w:w="1257"/>
        <w:gridCol w:w="725"/>
        <w:gridCol w:w="1719"/>
        <w:gridCol w:w="3951"/>
      </w:tblGrid>
      <w:tr>
        <w:trPr>
          <w:trHeight w:val="236" w:hRule="atLeast"/>
        </w:trPr>
        <w:tc>
          <w:tcPr>
            <w:tcW w:w="975" w:type="dxa"/>
            <w:tcBorders>
              <w:top w:val="single" w:sz="4" w:space="0" w:color="00000A"/>
              <w:left w:val="single" w:sz="4" w:space="0" w:color="00000A"/>
              <w:bottom w:val="single" w:sz="4" w:space="0" w:color="00000A"/>
              <w:right w:val="single" w:sz="8" w:space="0" w:color="A3A3A3"/>
              <w:insideH w:val="single" w:sz="4" w:space="0" w:color="00000A"/>
              <w:insideV w:val="single" w:sz="8" w:space="0" w:color="A3A3A3"/>
            </w:tcBorders>
            <w:shd w:fill="auto" w:val="clear"/>
            <w:tcMar>
              <w:left w:w="-5" w:type="dxa"/>
            </w:tcMar>
          </w:tcPr>
          <w:p>
            <w:pPr>
              <w:pStyle w:val="Normal"/>
              <w:rPr>
                <w:rFonts w:ascii="Calibri" w:hAnsi="Calibri" w:cs="Times New Roman"/>
                <w:sz w:val="22"/>
                <w:szCs w:val="22"/>
              </w:rPr>
            </w:pPr>
            <w:r>
              <w:rPr>
                <w:rFonts w:cs="Times New Roman"/>
                <w:sz w:val="22"/>
                <w:szCs w:val="22"/>
              </w:rPr>
            </w:r>
          </w:p>
        </w:tc>
        <w:tc>
          <w:tcPr>
            <w:tcW w:w="812" w:type="dxa"/>
            <w:tcBorders>
              <w:top w:val="single" w:sz="4" w:space="0" w:color="00000A"/>
              <w:left w:val="single" w:sz="8" w:space="0" w:color="A3A3A3"/>
              <w:bottom w:val="single" w:sz="4" w:space="0" w:color="00000A"/>
              <w:right w:val="single" w:sz="8" w:space="0" w:color="A3A3A3"/>
              <w:insideH w:val="single" w:sz="4" w:space="0" w:color="00000A"/>
              <w:insideV w:val="single" w:sz="8" w:space="0" w:color="A3A3A3"/>
            </w:tcBorders>
            <w:shd w:fill="auto" w:val="clear"/>
            <w:tcMar>
              <w:top w:w="80" w:type="dxa"/>
              <w:left w:w="70" w:type="dxa"/>
              <w:bottom w:w="80" w:type="dxa"/>
              <w:right w:w="80" w:type="dxa"/>
            </w:tcMar>
          </w:tcPr>
          <w:p>
            <w:pPr>
              <w:pStyle w:val="Normal"/>
              <w:rPr>
                <w:rFonts w:ascii="Calibri" w:hAnsi="Calibri" w:cs="Times New Roman"/>
              </w:rPr>
            </w:pPr>
            <w:r>
              <w:rPr>
                <w:rFonts w:cs="Times New Roman"/>
                <w:sz w:val="22"/>
                <w:szCs w:val="22"/>
              </w:rPr>
              <w:t>Finding ID</w:t>
            </w:r>
          </w:p>
        </w:tc>
        <w:tc>
          <w:tcPr>
            <w:tcW w:w="1257" w:type="dxa"/>
            <w:tcBorders>
              <w:top w:val="single" w:sz="4" w:space="0" w:color="00000A"/>
              <w:bottom w:val="single" w:sz="4" w:space="0" w:color="00000A"/>
              <w:right w:val="single" w:sz="8" w:space="0" w:color="A3A3A3"/>
              <w:insideH w:val="single" w:sz="4" w:space="0" w:color="00000A"/>
              <w:insideV w:val="single" w:sz="8" w:space="0" w:color="A3A3A3"/>
            </w:tcBorders>
            <w:shd w:fill="auto" w:val="clear"/>
            <w:tcMar>
              <w:top w:w="80" w:type="dxa"/>
              <w:left w:w="80" w:type="dxa"/>
              <w:bottom w:w="80" w:type="dxa"/>
              <w:right w:w="80" w:type="dxa"/>
            </w:tcMar>
          </w:tcPr>
          <w:p>
            <w:pPr>
              <w:pStyle w:val="Normal"/>
              <w:rPr>
                <w:rFonts w:ascii="Calibri" w:hAnsi="Calibri" w:cs="Times New Roman"/>
              </w:rPr>
            </w:pPr>
            <w:r>
              <w:rPr>
                <w:rFonts w:cs="Times New Roman"/>
                <w:sz w:val="22"/>
                <w:szCs w:val="22"/>
              </w:rPr>
              <w:t>Cell lines</w:t>
            </w:r>
          </w:p>
        </w:tc>
        <w:tc>
          <w:tcPr>
            <w:tcW w:w="725" w:type="dxa"/>
            <w:tcBorders>
              <w:top w:val="single" w:sz="4" w:space="0" w:color="00000A"/>
              <w:bottom w:val="single" w:sz="4" w:space="0" w:color="00000A"/>
              <w:right w:val="single" w:sz="8" w:space="0" w:color="A3A3A3"/>
              <w:insideH w:val="single" w:sz="4" w:space="0" w:color="00000A"/>
              <w:insideV w:val="single" w:sz="8" w:space="0" w:color="A3A3A3"/>
            </w:tcBorders>
            <w:shd w:fill="auto" w:val="clear"/>
            <w:tcMar>
              <w:top w:w="80" w:type="dxa"/>
              <w:left w:w="80" w:type="dxa"/>
              <w:bottom w:w="80" w:type="dxa"/>
              <w:right w:w="80" w:type="dxa"/>
            </w:tcMar>
          </w:tcPr>
          <w:p>
            <w:pPr>
              <w:pStyle w:val="Normal"/>
              <w:rPr>
                <w:rFonts w:ascii="Calibri" w:hAnsi="Calibri" w:cs="Times New Roman"/>
              </w:rPr>
            </w:pPr>
            <w:r>
              <w:rPr>
                <w:rFonts w:cs="Times New Roman"/>
                <w:sz w:val="22"/>
                <w:szCs w:val="22"/>
              </w:rPr>
              <w:t>Drugs</w:t>
            </w:r>
          </w:p>
        </w:tc>
        <w:tc>
          <w:tcPr>
            <w:tcW w:w="1719" w:type="dxa"/>
            <w:tcBorders>
              <w:top w:val="single" w:sz="4" w:space="0" w:color="00000A"/>
              <w:bottom w:val="single" w:sz="4" w:space="0" w:color="00000A"/>
              <w:right w:val="single" w:sz="8" w:space="0" w:color="A3A3A3"/>
              <w:insideH w:val="single" w:sz="4" w:space="0" w:color="00000A"/>
              <w:insideV w:val="single" w:sz="8" w:space="0" w:color="A3A3A3"/>
            </w:tcBorders>
            <w:shd w:fill="auto" w:val="clear"/>
            <w:tcMar>
              <w:top w:w="80" w:type="dxa"/>
              <w:left w:w="80" w:type="dxa"/>
              <w:bottom w:w="80" w:type="dxa"/>
              <w:right w:w="80" w:type="dxa"/>
            </w:tcMar>
          </w:tcPr>
          <w:p>
            <w:pPr>
              <w:pStyle w:val="Normal"/>
              <w:rPr>
                <w:rFonts w:ascii="Calibri" w:hAnsi="Calibri" w:cs="Times New Roman"/>
              </w:rPr>
            </w:pPr>
            <w:r>
              <w:rPr>
                <w:rFonts w:cs="Times New Roman"/>
                <w:sz w:val="22"/>
                <w:szCs w:val="22"/>
              </w:rPr>
              <w:t>Antibody Target</w:t>
            </w:r>
          </w:p>
        </w:tc>
        <w:tc>
          <w:tcPr>
            <w:tcW w:w="3951" w:type="dxa"/>
            <w:tcBorders>
              <w:top w:val="single" w:sz="4" w:space="0" w:color="00000A"/>
              <w:bottom w:val="single" w:sz="4" w:space="0" w:color="00000A"/>
              <w:right w:val="single" w:sz="4" w:space="0" w:color="00000A"/>
              <w:insideH w:val="single" w:sz="4" w:space="0" w:color="00000A"/>
              <w:insideV w:val="single" w:sz="4" w:space="0" w:color="00000A"/>
            </w:tcBorders>
            <w:shd w:fill="auto" w:val="clear"/>
            <w:tcMar>
              <w:top w:w="80" w:type="dxa"/>
              <w:left w:w="80" w:type="dxa"/>
              <w:bottom w:w="80" w:type="dxa"/>
              <w:right w:w="80" w:type="dxa"/>
            </w:tcMar>
          </w:tcPr>
          <w:p>
            <w:pPr>
              <w:pStyle w:val="Normal"/>
              <w:rPr>
                <w:rFonts w:ascii="Calibri" w:hAnsi="Calibri" w:cs="Times New Roman"/>
              </w:rPr>
            </w:pPr>
            <w:r>
              <w:rPr>
                <w:rFonts w:cs="Times New Roman"/>
                <w:sz w:val="22"/>
                <w:szCs w:val="22"/>
              </w:rPr>
              <w:t>Finding</w:t>
            </w:r>
          </w:p>
        </w:tc>
      </w:tr>
      <w:tr>
        <w:trPr>
          <w:trHeight w:val="986" w:hRule="atLeast"/>
        </w:trPr>
        <w:tc>
          <w:tcPr>
            <w:tcW w:w="975" w:type="dxa"/>
            <w:tcBorders>
              <w:top w:val="single" w:sz="4" w:space="0" w:color="00000A"/>
              <w:left w:val="single" w:sz="4" w:space="0" w:color="00000A"/>
              <w:bottom w:val="single" w:sz="4" w:space="0" w:color="00000A"/>
              <w:right w:val="single" w:sz="8" w:space="0" w:color="A3A3A3"/>
              <w:insideH w:val="single" w:sz="4" w:space="0" w:color="00000A"/>
              <w:insideV w:val="single" w:sz="8" w:space="0" w:color="A3A3A3"/>
            </w:tcBorders>
            <w:shd w:fill="auto" w:val="clear"/>
            <w:tcMar>
              <w:left w:w="-5" w:type="dxa"/>
            </w:tcMar>
            <w:vAlign w:val="center"/>
          </w:tcPr>
          <w:p>
            <w:pPr>
              <w:pStyle w:val="Normal"/>
              <w:jc w:val="center"/>
              <w:rPr>
                <w:rFonts w:ascii="Calibri" w:hAnsi="Calibri" w:cs="Times New Roman"/>
                <w:sz w:val="22"/>
                <w:szCs w:val="22"/>
              </w:rPr>
            </w:pPr>
            <w:r>
              <w:rPr>
                <w:rFonts w:cs="Times New Roman"/>
                <w:sz w:val="22"/>
                <w:szCs w:val="22"/>
              </w:rPr>
              <w:t>Required</w:t>
            </w:r>
          </w:p>
        </w:tc>
        <w:tc>
          <w:tcPr>
            <w:tcW w:w="812" w:type="dxa"/>
            <w:tcBorders>
              <w:top w:val="single" w:sz="4" w:space="0" w:color="00000A"/>
              <w:left w:val="single" w:sz="8" w:space="0" w:color="A3A3A3"/>
              <w:bottom w:val="single" w:sz="4" w:space="0" w:color="00000A"/>
              <w:right w:val="single" w:sz="8" w:space="0" w:color="A3A3A3"/>
              <w:insideH w:val="single" w:sz="4" w:space="0" w:color="00000A"/>
              <w:insideV w:val="single" w:sz="8" w:space="0" w:color="A3A3A3"/>
            </w:tcBorders>
            <w:shd w:fill="auto" w:val="clear"/>
            <w:tcMar>
              <w:top w:w="80" w:type="dxa"/>
              <w:left w:w="70" w:type="dxa"/>
              <w:bottom w:w="80" w:type="dxa"/>
              <w:right w:w="80" w:type="dxa"/>
            </w:tcMar>
          </w:tcPr>
          <w:p>
            <w:pPr>
              <w:pStyle w:val="Normal"/>
              <w:rPr>
                <w:rFonts w:ascii="Calibri" w:hAnsi="Calibri" w:cs="Times New Roman"/>
                <w:sz w:val="22"/>
                <w:szCs w:val="22"/>
              </w:rPr>
            </w:pPr>
            <w:r>
              <w:rPr>
                <w:rFonts w:cs="Times New Roman"/>
                <w:sz w:val="22"/>
                <w:szCs w:val="22"/>
              </w:rPr>
              <w:t>1</w:t>
            </w:r>
          </w:p>
        </w:tc>
        <w:tc>
          <w:tcPr>
            <w:tcW w:w="1257" w:type="dxa"/>
            <w:tcBorders>
              <w:top w:val="single" w:sz="4" w:space="0" w:color="00000A"/>
              <w:bottom w:val="single" w:sz="4" w:space="0" w:color="00000A"/>
              <w:right w:val="single" w:sz="8" w:space="0" w:color="A3A3A3"/>
              <w:insideH w:val="single" w:sz="4" w:space="0" w:color="00000A"/>
              <w:insideV w:val="single" w:sz="8" w:space="0" w:color="A3A3A3"/>
            </w:tcBorders>
            <w:shd w:fill="auto" w:val="clear"/>
            <w:tcMar>
              <w:top w:w="80" w:type="dxa"/>
              <w:left w:w="80" w:type="dxa"/>
              <w:bottom w:w="80" w:type="dxa"/>
              <w:right w:w="80" w:type="dxa"/>
            </w:tcMar>
          </w:tcPr>
          <w:p>
            <w:pPr>
              <w:pStyle w:val="Normal"/>
              <w:rPr>
                <w:rFonts w:ascii="Calibri" w:hAnsi="Calibri" w:cs="Times New Roman"/>
                <w:sz w:val="22"/>
                <w:szCs w:val="22"/>
              </w:rPr>
            </w:pPr>
            <w:r>
              <w:rPr>
                <w:rFonts w:cs="Times New Roman"/>
                <w:sz w:val="22"/>
                <w:szCs w:val="22"/>
              </w:rPr>
              <w:t>C32, LOXIMVI, MMACSF, MZ7MEL, RVH421</w:t>
            </w:r>
          </w:p>
        </w:tc>
        <w:tc>
          <w:tcPr>
            <w:tcW w:w="725" w:type="dxa"/>
            <w:tcBorders>
              <w:top w:val="single" w:sz="4" w:space="0" w:color="00000A"/>
              <w:bottom w:val="single" w:sz="4" w:space="0" w:color="00000A"/>
              <w:right w:val="single" w:sz="8" w:space="0" w:color="A3A3A3"/>
              <w:insideH w:val="single" w:sz="4" w:space="0" w:color="00000A"/>
              <w:insideV w:val="single" w:sz="8" w:space="0" w:color="A3A3A3"/>
            </w:tcBorders>
            <w:shd w:fill="auto" w:val="clear"/>
            <w:tcMar>
              <w:top w:w="80" w:type="dxa"/>
              <w:left w:w="80" w:type="dxa"/>
              <w:bottom w:w="80" w:type="dxa"/>
              <w:right w:w="80" w:type="dxa"/>
            </w:tcMar>
          </w:tcPr>
          <w:p>
            <w:pPr>
              <w:pStyle w:val="Normal"/>
              <w:rPr>
                <w:rFonts w:ascii="Calibri" w:hAnsi="Calibri" w:cs="Times New Roman"/>
                <w:sz w:val="22"/>
                <w:szCs w:val="22"/>
              </w:rPr>
            </w:pPr>
            <w:r>
              <w:rPr>
                <w:rFonts w:cs="Times New Roman"/>
                <w:sz w:val="22"/>
                <w:szCs w:val="22"/>
              </w:rPr>
              <w:t>all</w:t>
            </w:r>
          </w:p>
        </w:tc>
        <w:tc>
          <w:tcPr>
            <w:tcW w:w="1719" w:type="dxa"/>
            <w:tcBorders>
              <w:top w:val="single" w:sz="4" w:space="0" w:color="00000A"/>
              <w:bottom w:val="single" w:sz="4" w:space="0" w:color="00000A"/>
              <w:right w:val="single" w:sz="8" w:space="0" w:color="A3A3A3"/>
              <w:insideH w:val="single" w:sz="4" w:space="0" w:color="00000A"/>
              <w:insideV w:val="single" w:sz="8" w:space="0" w:color="A3A3A3"/>
            </w:tcBorders>
            <w:shd w:fill="auto" w:val="clear"/>
            <w:tcMar>
              <w:top w:w="80" w:type="dxa"/>
              <w:left w:w="80" w:type="dxa"/>
              <w:bottom w:w="80" w:type="dxa"/>
              <w:right w:w="80" w:type="dxa"/>
            </w:tcMar>
          </w:tcPr>
          <w:p>
            <w:pPr>
              <w:pStyle w:val="Normal"/>
              <w:rPr>
                <w:rFonts w:ascii="Calibri" w:hAnsi="Calibri" w:cs="Times New Roman"/>
                <w:sz w:val="22"/>
                <w:szCs w:val="22"/>
              </w:rPr>
            </w:pPr>
            <w:r>
              <w:rPr>
                <w:rFonts w:cs="Times New Roman"/>
                <w:sz w:val="22"/>
                <w:szCs w:val="22"/>
              </w:rPr>
              <w:t>p-S6(S235/236)</w:t>
            </w:r>
          </w:p>
        </w:tc>
        <w:tc>
          <w:tcPr>
            <w:tcW w:w="3951" w:type="dxa"/>
            <w:tcBorders>
              <w:top w:val="single" w:sz="4" w:space="0" w:color="00000A"/>
              <w:bottom w:val="single" w:sz="4" w:space="0" w:color="00000A"/>
              <w:right w:val="single" w:sz="4" w:space="0" w:color="00000A"/>
              <w:insideH w:val="single" w:sz="4" w:space="0" w:color="00000A"/>
              <w:insideV w:val="single" w:sz="4" w:space="0" w:color="00000A"/>
            </w:tcBorders>
            <w:shd w:fill="auto" w:val="clear"/>
            <w:tcMar>
              <w:top w:w="80" w:type="dxa"/>
              <w:left w:w="80" w:type="dxa"/>
              <w:bottom w:w="80" w:type="dxa"/>
              <w:right w:w="80" w:type="dxa"/>
            </w:tcMar>
          </w:tcPr>
          <w:p>
            <w:pPr>
              <w:pStyle w:val="Normal"/>
              <w:rPr>
                <w:rFonts w:ascii="Calibri" w:hAnsi="Calibri" w:cs="Times New Roman"/>
                <w:sz w:val="22"/>
                <w:szCs w:val="22"/>
              </w:rPr>
            </w:pPr>
            <w:r>
              <w:rPr>
                <w:rFonts w:cs="Times New Roman"/>
                <w:sz w:val="22"/>
                <w:szCs w:val="22"/>
              </w:rPr>
              <w:t>We observe a dose-dependent decrease of p-S6(S235/236) across five cell lines and drugs. Feel free to use any or all of the time points in your explanation.</w:t>
            </w:r>
          </w:p>
        </w:tc>
      </w:tr>
      <w:tr>
        <w:trPr>
          <w:trHeight w:val="1485" w:hRule="atLeast"/>
        </w:trPr>
        <w:tc>
          <w:tcPr>
            <w:tcW w:w="975" w:type="dxa"/>
            <w:vMerge w:val="restart"/>
            <w:tcBorders>
              <w:top w:val="single" w:sz="4" w:space="0" w:color="00000A"/>
              <w:left w:val="single" w:sz="4" w:space="0" w:color="00000A"/>
              <w:right w:val="single" w:sz="8" w:space="0" w:color="A3A3A3"/>
              <w:insideV w:val="single" w:sz="8" w:space="0" w:color="A3A3A3"/>
            </w:tcBorders>
            <w:shd w:fill="auto" w:val="clear"/>
            <w:tcMar>
              <w:left w:w="-5" w:type="dxa"/>
            </w:tcMar>
            <w:vAlign w:val="center"/>
          </w:tcPr>
          <w:p>
            <w:pPr>
              <w:pStyle w:val="Normal"/>
              <w:jc w:val="center"/>
              <w:rPr>
                <w:rFonts w:ascii="Calibri" w:hAnsi="Calibri" w:cs="Times New Roman"/>
                <w:sz w:val="22"/>
                <w:szCs w:val="22"/>
              </w:rPr>
            </w:pPr>
            <w:r>
              <w:rPr>
                <w:rFonts w:cs="Times New Roman"/>
                <w:sz w:val="22"/>
                <w:szCs w:val="22"/>
              </w:rPr>
              <w:t>Choose at least one</w:t>
            </w:r>
          </w:p>
        </w:tc>
        <w:tc>
          <w:tcPr>
            <w:tcW w:w="812" w:type="dxa"/>
            <w:tcBorders>
              <w:top w:val="single" w:sz="4" w:space="0" w:color="00000A"/>
              <w:left w:val="single" w:sz="8" w:space="0" w:color="A3A3A3"/>
              <w:bottom w:val="single" w:sz="8" w:space="0" w:color="A3A3A3"/>
              <w:right w:val="single" w:sz="8" w:space="0" w:color="A3A3A3"/>
              <w:insideH w:val="single" w:sz="8" w:space="0" w:color="A3A3A3"/>
              <w:insideV w:val="single" w:sz="8" w:space="0" w:color="A3A3A3"/>
            </w:tcBorders>
            <w:shd w:fill="auto" w:val="clear"/>
            <w:tcMar>
              <w:top w:w="80" w:type="dxa"/>
              <w:left w:w="70" w:type="dxa"/>
              <w:bottom w:w="80" w:type="dxa"/>
              <w:right w:w="80" w:type="dxa"/>
            </w:tcMar>
          </w:tcPr>
          <w:p>
            <w:pPr>
              <w:pStyle w:val="Normal"/>
              <w:rPr>
                <w:rFonts w:ascii="Calibri" w:hAnsi="Calibri" w:cs="Times New Roman"/>
              </w:rPr>
            </w:pPr>
            <w:r>
              <w:rPr>
                <w:rFonts w:cs="Times New Roman"/>
                <w:sz w:val="22"/>
                <w:szCs w:val="22"/>
              </w:rPr>
              <w:t>2</w:t>
            </w:r>
          </w:p>
        </w:tc>
        <w:tc>
          <w:tcPr>
            <w:tcW w:w="1257" w:type="dxa"/>
            <w:tcBorders>
              <w:top w:val="single" w:sz="4" w:space="0" w:color="00000A"/>
              <w:bottom w:val="single" w:sz="8" w:space="0" w:color="A3A3A3"/>
              <w:right w:val="single" w:sz="8" w:space="0" w:color="A3A3A3"/>
              <w:insideH w:val="single" w:sz="8" w:space="0" w:color="A3A3A3"/>
              <w:insideV w:val="single" w:sz="8" w:space="0" w:color="A3A3A3"/>
            </w:tcBorders>
            <w:shd w:fill="auto" w:val="clear"/>
            <w:tcMar>
              <w:top w:w="80" w:type="dxa"/>
              <w:left w:w="80" w:type="dxa"/>
              <w:bottom w:w="80" w:type="dxa"/>
              <w:right w:w="80" w:type="dxa"/>
            </w:tcMar>
          </w:tcPr>
          <w:p>
            <w:pPr>
              <w:pStyle w:val="Normal"/>
              <w:rPr>
                <w:rFonts w:ascii="Calibri" w:hAnsi="Calibri" w:cs="Times New Roman"/>
              </w:rPr>
            </w:pPr>
            <w:r>
              <w:rPr>
                <w:rFonts w:cs="Times New Roman"/>
                <w:sz w:val="22"/>
                <w:szCs w:val="22"/>
              </w:rPr>
              <w:t>LOXIMVI, RVH421</w:t>
            </w:r>
          </w:p>
        </w:tc>
        <w:tc>
          <w:tcPr>
            <w:tcW w:w="725" w:type="dxa"/>
            <w:tcBorders>
              <w:top w:val="single" w:sz="4" w:space="0" w:color="00000A"/>
              <w:bottom w:val="single" w:sz="8" w:space="0" w:color="A3A3A3"/>
              <w:right w:val="single" w:sz="8" w:space="0" w:color="A3A3A3"/>
              <w:insideH w:val="single" w:sz="8" w:space="0" w:color="A3A3A3"/>
              <w:insideV w:val="single" w:sz="8" w:space="0" w:color="A3A3A3"/>
            </w:tcBorders>
            <w:shd w:fill="auto" w:val="clear"/>
            <w:tcMar>
              <w:top w:w="80" w:type="dxa"/>
              <w:left w:w="80" w:type="dxa"/>
              <w:bottom w:w="80" w:type="dxa"/>
              <w:right w:w="80" w:type="dxa"/>
            </w:tcMar>
          </w:tcPr>
          <w:p>
            <w:pPr>
              <w:pStyle w:val="Normal"/>
              <w:rPr>
                <w:rFonts w:ascii="Calibri" w:hAnsi="Calibri" w:cs="Times New Roman"/>
              </w:rPr>
            </w:pPr>
            <w:r>
              <w:rPr>
                <w:rFonts w:cs="Times New Roman"/>
                <w:sz w:val="22"/>
                <w:szCs w:val="22"/>
              </w:rPr>
              <w:t>all</w:t>
            </w:r>
          </w:p>
        </w:tc>
        <w:tc>
          <w:tcPr>
            <w:tcW w:w="1719" w:type="dxa"/>
            <w:tcBorders>
              <w:top w:val="single" w:sz="4" w:space="0" w:color="00000A"/>
              <w:bottom w:val="single" w:sz="8" w:space="0" w:color="A3A3A3"/>
              <w:right w:val="single" w:sz="8" w:space="0" w:color="A3A3A3"/>
              <w:insideH w:val="single" w:sz="8" w:space="0" w:color="A3A3A3"/>
              <w:insideV w:val="single" w:sz="8" w:space="0" w:color="A3A3A3"/>
            </w:tcBorders>
            <w:shd w:fill="auto" w:val="clear"/>
            <w:tcMar>
              <w:top w:w="80" w:type="dxa"/>
              <w:left w:w="80" w:type="dxa"/>
              <w:bottom w:w="80" w:type="dxa"/>
              <w:right w:w="80" w:type="dxa"/>
            </w:tcMar>
          </w:tcPr>
          <w:p>
            <w:pPr>
              <w:pStyle w:val="Normal"/>
              <w:rPr>
                <w:rFonts w:ascii="Calibri" w:hAnsi="Calibri" w:cs="Times New Roman"/>
              </w:rPr>
            </w:pPr>
            <w:r>
              <w:rPr>
                <w:rFonts w:cs="Times New Roman"/>
                <w:sz w:val="22"/>
                <w:szCs w:val="22"/>
              </w:rPr>
              <w:t>pERK(T202/Y204)</w:t>
            </w:r>
          </w:p>
        </w:tc>
        <w:tc>
          <w:tcPr>
            <w:tcW w:w="3951" w:type="dxa"/>
            <w:tcBorders>
              <w:top w:val="single" w:sz="4" w:space="0" w:color="00000A"/>
              <w:bottom w:val="single" w:sz="8" w:space="0" w:color="A3A3A3"/>
              <w:right w:val="single" w:sz="4" w:space="0" w:color="00000A"/>
              <w:insideH w:val="single" w:sz="8" w:space="0" w:color="A3A3A3"/>
              <w:insideV w:val="single" w:sz="4" w:space="0" w:color="00000A"/>
            </w:tcBorders>
            <w:shd w:fill="auto" w:val="clear"/>
            <w:tcMar>
              <w:top w:w="80" w:type="dxa"/>
              <w:left w:w="80" w:type="dxa"/>
              <w:bottom w:w="80" w:type="dxa"/>
              <w:right w:w="80" w:type="dxa"/>
            </w:tcMar>
          </w:tcPr>
          <w:p>
            <w:pPr>
              <w:pStyle w:val="Normal"/>
              <w:rPr>
                <w:rFonts w:ascii="Calibri" w:hAnsi="Calibri" w:cs="Times New Roman"/>
              </w:rPr>
            </w:pPr>
            <w:r>
              <w:rPr>
                <w:rFonts w:cs="Times New Roman"/>
                <w:sz w:val="22"/>
                <w:szCs w:val="22"/>
              </w:rPr>
              <w:t>We observe an increase in the abundance of pERK(T202/Y204) at low dosages across all drugs in the LOXIMVI cell line at 1 hour after treatment. In contrast, the cell line RVH421 shows a dose-dependent decrease in the abundance of pERK(T202/Y204) across the time course.</w:t>
            </w:r>
          </w:p>
        </w:tc>
      </w:tr>
      <w:tr>
        <w:trPr>
          <w:trHeight w:val="998" w:hRule="atLeast"/>
        </w:trPr>
        <w:tc>
          <w:tcPr>
            <w:tcW w:w="975" w:type="dxa"/>
            <w:vMerge w:val="continue"/>
            <w:tcBorders>
              <w:left w:val="single" w:sz="4" w:space="0" w:color="00000A"/>
              <w:right w:val="single" w:sz="8" w:space="0" w:color="A3A3A3"/>
              <w:insideV w:val="single" w:sz="8" w:space="0" w:color="A3A3A3"/>
            </w:tcBorders>
            <w:shd w:fill="auto" w:val="clear"/>
            <w:tcMar>
              <w:left w:w="-5" w:type="dxa"/>
            </w:tcMar>
          </w:tcPr>
          <w:p>
            <w:pPr>
              <w:pStyle w:val="Normal"/>
              <w:rPr>
                <w:rFonts w:ascii="Calibri" w:hAnsi="Calibri" w:cs="Times New Roman"/>
                <w:sz w:val="22"/>
                <w:szCs w:val="22"/>
              </w:rPr>
            </w:pPr>
            <w:r>
              <w:rPr>
                <w:rFonts w:cs="Times New Roman"/>
                <w:sz w:val="22"/>
                <w:szCs w:val="22"/>
              </w:rPr>
            </w:r>
          </w:p>
        </w:tc>
        <w:tc>
          <w:tcPr>
            <w:tcW w:w="812" w:type="dxa"/>
            <w:tcBorders>
              <w:left w:val="single" w:sz="8" w:space="0" w:color="A3A3A3"/>
              <w:bottom w:val="single" w:sz="8" w:space="0" w:color="A3A3A3"/>
              <w:right w:val="single" w:sz="8" w:space="0" w:color="A3A3A3"/>
              <w:insideH w:val="single" w:sz="8" w:space="0" w:color="A3A3A3"/>
              <w:insideV w:val="single" w:sz="8" w:space="0" w:color="A3A3A3"/>
            </w:tcBorders>
            <w:shd w:fill="auto" w:val="clear"/>
            <w:tcMar>
              <w:top w:w="80" w:type="dxa"/>
              <w:left w:w="70" w:type="dxa"/>
              <w:bottom w:w="80" w:type="dxa"/>
              <w:right w:w="80" w:type="dxa"/>
            </w:tcMar>
          </w:tcPr>
          <w:p>
            <w:pPr>
              <w:pStyle w:val="Normal"/>
              <w:rPr>
                <w:rFonts w:ascii="Calibri" w:hAnsi="Calibri" w:cs="Times New Roman"/>
              </w:rPr>
            </w:pPr>
            <w:r>
              <w:rPr>
                <w:rFonts w:cs="Times New Roman"/>
                <w:sz w:val="22"/>
                <w:szCs w:val="22"/>
              </w:rPr>
              <w:t>3</w:t>
            </w:r>
          </w:p>
        </w:tc>
        <w:tc>
          <w:tcPr>
            <w:tcW w:w="1257" w:type="dxa"/>
            <w:tcBorders>
              <w:bottom w:val="single" w:sz="8" w:space="0" w:color="A3A3A3"/>
              <w:right w:val="single" w:sz="8" w:space="0" w:color="A3A3A3"/>
              <w:insideH w:val="single" w:sz="8" w:space="0" w:color="A3A3A3"/>
              <w:insideV w:val="single" w:sz="8" w:space="0" w:color="A3A3A3"/>
            </w:tcBorders>
            <w:shd w:fill="auto" w:val="clear"/>
            <w:tcMar>
              <w:top w:w="80" w:type="dxa"/>
              <w:left w:w="80" w:type="dxa"/>
              <w:bottom w:w="80" w:type="dxa"/>
              <w:right w:w="80" w:type="dxa"/>
            </w:tcMar>
          </w:tcPr>
          <w:p>
            <w:pPr>
              <w:pStyle w:val="Normal"/>
              <w:rPr>
                <w:rFonts w:ascii="Calibri" w:hAnsi="Calibri" w:cs="Times New Roman"/>
              </w:rPr>
            </w:pPr>
            <w:r>
              <w:rPr>
                <w:rFonts w:cs="Times New Roman"/>
                <w:sz w:val="22"/>
                <w:szCs w:val="22"/>
              </w:rPr>
              <w:t>LOXIMVI</w:t>
            </w:r>
          </w:p>
        </w:tc>
        <w:tc>
          <w:tcPr>
            <w:tcW w:w="725" w:type="dxa"/>
            <w:tcBorders>
              <w:bottom w:val="single" w:sz="8" w:space="0" w:color="A3A3A3"/>
              <w:right w:val="single" w:sz="8" w:space="0" w:color="A3A3A3"/>
              <w:insideH w:val="single" w:sz="8" w:space="0" w:color="A3A3A3"/>
              <w:insideV w:val="single" w:sz="8" w:space="0" w:color="A3A3A3"/>
            </w:tcBorders>
            <w:shd w:fill="auto" w:val="clear"/>
            <w:tcMar>
              <w:top w:w="80" w:type="dxa"/>
              <w:left w:w="80" w:type="dxa"/>
              <w:bottom w:w="80" w:type="dxa"/>
              <w:right w:w="80" w:type="dxa"/>
            </w:tcMar>
          </w:tcPr>
          <w:p>
            <w:pPr>
              <w:pStyle w:val="Normal"/>
              <w:rPr>
                <w:rFonts w:ascii="Calibri" w:hAnsi="Calibri" w:cs="Times New Roman"/>
              </w:rPr>
            </w:pPr>
            <w:r>
              <w:rPr>
                <w:rFonts w:cs="Times New Roman"/>
                <w:sz w:val="22"/>
                <w:szCs w:val="22"/>
              </w:rPr>
              <w:t>AZ628</w:t>
            </w:r>
          </w:p>
        </w:tc>
        <w:tc>
          <w:tcPr>
            <w:tcW w:w="1719" w:type="dxa"/>
            <w:tcBorders>
              <w:bottom w:val="single" w:sz="8" w:space="0" w:color="A3A3A3"/>
              <w:right w:val="single" w:sz="8" w:space="0" w:color="A3A3A3"/>
              <w:insideH w:val="single" w:sz="8" w:space="0" w:color="A3A3A3"/>
              <w:insideV w:val="single" w:sz="8" w:space="0" w:color="A3A3A3"/>
            </w:tcBorders>
            <w:shd w:fill="auto" w:val="clear"/>
            <w:tcMar>
              <w:top w:w="80" w:type="dxa"/>
              <w:left w:w="80" w:type="dxa"/>
              <w:bottom w:w="80" w:type="dxa"/>
              <w:right w:w="80" w:type="dxa"/>
            </w:tcMar>
          </w:tcPr>
          <w:p>
            <w:pPr>
              <w:pStyle w:val="Normal"/>
              <w:rPr>
                <w:rFonts w:ascii="Calibri" w:hAnsi="Calibri" w:cs="Times New Roman"/>
              </w:rPr>
            </w:pPr>
            <w:r>
              <w:rPr>
                <w:rFonts w:cs="Times New Roman"/>
                <w:sz w:val="22"/>
                <w:szCs w:val="22"/>
              </w:rPr>
              <w:t>p-Histone H3(S10)</w:t>
            </w:r>
          </w:p>
        </w:tc>
        <w:tc>
          <w:tcPr>
            <w:tcW w:w="3951" w:type="dxa"/>
            <w:tcBorders>
              <w:bottom w:val="single" w:sz="8" w:space="0" w:color="A3A3A3"/>
              <w:right w:val="single" w:sz="4" w:space="0" w:color="00000A"/>
              <w:insideH w:val="single" w:sz="8" w:space="0" w:color="A3A3A3"/>
              <w:insideV w:val="single" w:sz="4" w:space="0" w:color="00000A"/>
            </w:tcBorders>
            <w:shd w:fill="auto" w:val="clear"/>
            <w:tcMar>
              <w:top w:w="80" w:type="dxa"/>
              <w:left w:w="80" w:type="dxa"/>
              <w:bottom w:w="80" w:type="dxa"/>
              <w:right w:w="80" w:type="dxa"/>
            </w:tcMar>
          </w:tcPr>
          <w:p>
            <w:pPr>
              <w:pStyle w:val="Normal"/>
              <w:rPr>
                <w:rFonts w:ascii="Calibri" w:hAnsi="Calibri" w:cs="Times New Roman"/>
              </w:rPr>
            </w:pPr>
            <w:r>
              <w:rPr>
                <w:rFonts w:cs="Times New Roman"/>
                <w:sz w:val="22"/>
                <w:szCs w:val="22"/>
              </w:rPr>
              <w:t>We observe a dose-dependent decrease of in the abundance of p-Histone H3(S10) in the cell line LOXIMVI in response to AZ628 but not in response to the other drugs.</w:t>
            </w:r>
          </w:p>
        </w:tc>
      </w:tr>
      <w:tr>
        <w:trPr>
          <w:trHeight w:val="735" w:hRule="atLeast"/>
        </w:trPr>
        <w:tc>
          <w:tcPr>
            <w:tcW w:w="975" w:type="dxa"/>
            <w:vMerge w:val="continue"/>
            <w:tcBorders>
              <w:left w:val="single" w:sz="4" w:space="0" w:color="00000A"/>
              <w:right w:val="single" w:sz="8" w:space="0" w:color="A3A3A3"/>
              <w:insideV w:val="single" w:sz="8" w:space="0" w:color="A3A3A3"/>
            </w:tcBorders>
            <w:shd w:fill="auto" w:val="clear"/>
            <w:tcMar>
              <w:left w:w="-5" w:type="dxa"/>
            </w:tcMar>
          </w:tcPr>
          <w:p>
            <w:pPr>
              <w:pStyle w:val="Normal"/>
              <w:rPr>
                <w:rFonts w:ascii="Calibri" w:hAnsi="Calibri" w:cs="Times New Roman"/>
                <w:sz w:val="22"/>
                <w:szCs w:val="22"/>
              </w:rPr>
            </w:pPr>
            <w:r>
              <w:rPr>
                <w:rFonts w:cs="Times New Roman"/>
                <w:sz w:val="22"/>
                <w:szCs w:val="22"/>
              </w:rPr>
            </w:r>
          </w:p>
        </w:tc>
        <w:tc>
          <w:tcPr>
            <w:tcW w:w="812" w:type="dxa"/>
            <w:tcBorders>
              <w:left w:val="single" w:sz="8" w:space="0" w:color="A3A3A3"/>
              <w:bottom w:val="single" w:sz="8" w:space="0" w:color="A3A3A3"/>
              <w:right w:val="single" w:sz="8" w:space="0" w:color="A3A3A3"/>
              <w:insideH w:val="single" w:sz="8" w:space="0" w:color="A3A3A3"/>
              <w:insideV w:val="single" w:sz="8" w:space="0" w:color="A3A3A3"/>
            </w:tcBorders>
            <w:shd w:fill="auto" w:val="clear"/>
            <w:tcMar>
              <w:top w:w="80" w:type="dxa"/>
              <w:left w:w="70" w:type="dxa"/>
              <w:bottom w:w="80" w:type="dxa"/>
              <w:right w:w="80" w:type="dxa"/>
            </w:tcMar>
          </w:tcPr>
          <w:p>
            <w:pPr>
              <w:pStyle w:val="Normal"/>
              <w:rPr>
                <w:rFonts w:ascii="Calibri" w:hAnsi="Calibri" w:cs="Times New Roman"/>
              </w:rPr>
            </w:pPr>
            <w:r>
              <w:rPr>
                <w:rFonts w:cs="Times New Roman"/>
                <w:sz w:val="22"/>
                <w:szCs w:val="22"/>
              </w:rPr>
              <w:t>4</w:t>
            </w:r>
          </w:p>
        </w:tc>
        <w:tc>
          <w:tcPr>
            <w:tcW w:w="1257" w:type="dxa"/>
            <w:tcBorders>
              <w:bottom w:val="single" w:sz="8" w:space="0" w:color="A3A3A3"/>
              <w:right w:val="single" w:sz="8" w:space="0" w:color="A3A3A3"/>
              <w:insideH w:val="single" w:sz="8" w:space="0" w:color="A3A3A3"/>
              <w:insideV w:val="single" w:sz="8" w:space="0" w:color="A3A3A3"/>
            </w:tcBorders>
            <w:shd w:fill="auto" w:val="clear"/>
            <w:tcMar>
              <w:top w:w="80" w:type="dxa"/>
              <w:left w:w="80" w:type="dxa"/>
              <w:bottom w:w="80" w:type="dxa"/>
              <w:right w:w="80" w:type="dxa"/>
            </w:tcMar>
          </w:tcPr>
          <w:p>
            <w:pPr>
              <w:pStyle w:val="Normal"/>
              <w:rPr>
                <w:rFonts w:ascii="Calibri" w:hAnsi="Calibri" w:cs="Times New Roman"/>
              </w:rPr>
            </w:pPr>
            <w:r>
              <w:rPr>
                <w:rFonts w:cs="Times New Roman"/>
                <w:sz w:val="22"/>
                <w:szCs w:val="22"/>
              </w:rPr>
              <w:t>WM115, C32</w:t>
            </w:r>
          </w:p>
        </w:tc>
        <w:tc>
          <w:tcPr>
            <w:tcW w:w="725" w:type="dxa"/>
            <w:tcBorders>
              <w:bottom w:val="single" w:sz="8" w:space="0" w:color="A3A3A3"/>
              <w:right w:val="single" w:sz="8" w:space="0" w:color="A3A3A3"/>
              <w:insideH w:val="single" w:sz="8" w:space="0" w:color="A3A3A3"/>
              <w:insideV w:val="single" w:sz="8" w:space="0" w:color="A3A3A3"/>
            </w:tcBorders>
            <w:shd w:fill="auto" w:val="clear"/>
            <w:tcMar>
              <w:top w:w="80" w:type="dxa"/>
              <w:left w:w="80" w:type="dxa"/>
              <w:bottom w:w="80" w:type="dxa"/>
              <w:right w:w="80" w:type="dxa"/>
            </w:tcMar>
          </w:tcPr>
          <w:p>
            <w:pPr>
              <w:pStyle w:val="Normal"/>
              <w:rPr>
                <w:rFonts w:ascii="Calibri" w:hAnsi="Calibri" w:cs="Times New Roman"/>
              </w:rPr>
            </w:pPr>
            <w:r>
              <w:rPr>
                <w:rFonts w:cs="Times New Roman"/>
                <w:sz w:val="22"/>
                <w:szCs w:val="22"/>
              </w:rPr>
              <w:t>all</w:t>
            </w:r>
          </w:p>
        </w:tc>
        <w:tc>
          <w:tcPr>
            <w:tcW w:w="1719" w:type="dxa"/>
            <w:tcBorders>
              <w:bottom w:val="single" w:sz="8" w:space="0" w:color="A3A3A3"/>
              <w:right w:val="single" w:sz="8" w:space="0" w:color="A3A3A3"/>
              <w:insideH w:val="single" w:sz="8" w:space="0" w:color="A3A3A3"/>
              <w:insideV w:val="single" w:sz="8" w:space="0" w:color="A3A3A3"/>
            </w:tcBorders>
            <w:shd w:fill="auto" w:val="clear"/>
            <w:tcMar>
              <w:top w:w="80" w:type="dxa"/>
              <w:left w:w="80" w:type="dxa"/>
              <w:bottom w:w="80" w:type="dxa"/>
              <w:right w:w="80" w:type="dxa"/>
            </w:tcMar>
          </w:tcPr>
          <w:p>
            <w:pPr>
              <w:pStyle w:val="Normal"/>
              <w:rPr>
                <w:rFonts w:ascii="Calibri" w:hAnsi="Calibri" w:cs="Times New Roman"/>
              </w:rPr>
            </w:pPr>
            <w:r>
              <w:rPr>
                <w:rFonts w:cs="Times New Roman"/>
                <w:sz w:val="22"/>
                <w:szCs w:val="22"/>
              </w:rPr>
              <w:t>p-AKT(S473)</w:t>
            </w:r>
          </w:p>
        </w:tc>
        <w:tc>
          <w:tcPr>
            <w:tcW w:w="3951" w:type="dxa"/>
            <w:tcBorders>
              <w:bottom w:val="single" w:sz="8" w:space="0" w:color="A3A3A3"/>
              <w:right w:val="single" w:sz="4" w:space="0" w:color="00000A"/>
              <w:insideH w:val="single" w:sz="8" w:space="0" w:color="A3A3A3"/>
              <w:insideV w:val="single" w:sz="4" w:space="0" w:color="00000A"/>
            </w:tcBorders>
            <w:shd w:fill="auto" w:val="clear"/>
            <w:tcMar>
              <w:top w:w="80" w:type="dxa"/>
              <w:left w:w="80" w:type="dxa"/>
              <w:bottom w:w="80" w:type="dxa"/>
              <w:right w:w="80" w:type="dxa"/>
            </w:tcMar>
          </w:tcPr>
          <w:p>
            <w:pPr>
              <w:pStyle w:val="Normal"/>
              <w:rPr>
                <w:rFonts w:ascii="Calibri" w:hAnsi="Calibri" w:cs="Times New Roman"/>
              </w:rPr>
            </w:pPr>
            <w:r>
              <w:rPr>
                <w:rFonts w:cs="Times New Roman"/>
                <w:sz w:val="22"/>
                <w:szCs w:val="22"/>
              </w:rPr>
              <w:t>During intermediate time points, we observe a decrease in the abundance of p-AKT(S473) in the cell line WM115 but not in the cell line C32.</w:t>
            </w:r>
          </w:p>
        </w:tc>
      </w:tr>
      <w:tr>
        <w:trPr>
          <w:trHeight w:val="750" w:hRule="atLeast"/>
        </w:trPr>
        <w:tc>
          <w:tcPr>
            <w:tcW w:w="975" w:type="dxa"/>
            <w:vMerge w:val="continue"/>
            <w:tcBorders>
              <w:left w:val="single" w:sz="4" w:space="0" w:color="00000A"/>
              <w:bottom w:val="single" w:sz="4" w:space="0" w:color="00000A"/>
              <w:right w:val="single" w:sz="8" w:space="0" w:color="A3A3A3"/>
              <w:insideH w:val="single" w:sz="4" w:space="0" w:color="00000A"/>
              <w:insideV w:val="single" w:sz="8" w:space="0" w:color="A3A3A3"/>
            </w:tcBorders>
            <w:shd w:fill="auto" w:val="clear"/>
            <w:tcMar>
              <w:left w:w="-5" w:type="dxa"/>
            </w:tcMar>
          </w:tcPr>
          <w:p>
            <w:pPr>
              <w:pStyle w:val="Normal"/>
              <w:rPr>
                <w:rFonts w:ascii="Calibri" w:hAnsi="Calibri" w:cs="Times New Roman"/>
                <w:sz w:val="22"/>
                <w:szCs w:val="22"/>
              </w:rPr>
            </w:pPr>
            <w:r>
              <w:rPr>
                <w:rFonts w:cs="Times New Roman"/>
                <w:sz w:val="22"/>
                <w:szCs w:val="22"/>
              </w:rPr>
            </w:r>
          </w:p>
        </w:tc>
        <w:tc>
          <w:tcPr>
            <w:tcW w:w="812" w:type="dxa"/>
            <w:tcBorders>
              <w:left w:val="single" w:sz="8" w:space="0" w:color="A3A3A3"/>
              <w:bottom w:val="single" w:sz="4" w:space="0" w:color="00000A"/>
              <w:right w:val="single" w:sz="8" w:space="0" w:color="A3A3A3"/>
              <w:insideH w:val="single" w:sz="4" w:space="0" w:color="00000A"/>
              <w:insideV w:val="single" w:sz="8" w:space="0" w:color="A3A3A3"/>
            </w:tcBorders>
            <w:shd w:fill="auto" w:val="clear"/>
            <w:tcMar>
              <w:top w:w="80" w:type="dxa"/>
              <w:left w:w="70" w:type="dxa"/>
              <w:bottom w:w="80" w:type="dxa"/>
              <w:right w:w="80" w:type="dxa"/>
            </w:tcMar>
          </w:tcPr>
          <w:p>
            <w:pPr>
              <w:pStyle w:val="Normal"/>
              <w:rPr>
                <w:rFonts w:ascii="Calibri" w:hAnsi="Calibri" w:cs="Times New Roman"/>
              </w:rPr>
            </w:pPr>
            <w:r>
              <w:rPr>
                <w:rFonts w:cs="Times New Roman"/>
                <w:sz w:val="22"/>
                <w:szCs w:val="22"/>
              </w:rPr>
              <w:t>5</w:t>
            </w:r>
          </w:p>
        </w:tc>
        <w:tc>
          <w:tcPr>
            <w:tcW w:w="1257" w:type="dxa"/>
            <w:tcBorders>
              <w:bottom w:val="single" w:sz="4" w:space="0" w:color="00000A"/>
              <w:right w:val="single" w:sz="8" w:space="0" w:color="A3A3A3"/>
              <w:insideH w:val="single" w:sz="4" w:space="0" w:color="00000A"/>
              <w:insideV w:val="single" w:sz="8" w:space="0" w:color="A3A3A3"/>
            </w:tcBorders>
            <w:shd w:fill="auto" w:val="clear"/>
            <w:tcMar>
              <w:top w:w="80" w:type="dxa"/>
              <w:left w:w="80" w:type="dxa"/>
              <w:bottom w:w="80" w:type="dxa"/>
              <w:right w:w="80" w:type="dxa"/>
            </w:tcMar>
          </w:tcPr>
          <w:p>
            <w:pPr>
              <w:pStyle w:val="Normal"/>
              <w:rPr>
                <w:rFonts w:ascii="Calibri" w:hAnsi="Calibri" w:cs="Times New Roman"/>
              </w:rPr>
            </w:pPr>
            <w:r>
              <w:rPr>
                <w:rFonts w:cs="Times New Roman"/>
                <w:sz w:val="22"/>
                <w:szCs w:val="22"/>
              </w:rPr>
              <w:t>RVH421, C32</w:t>
            </w:r>
          </w:p>
        </w:tc>
        <w:tc>
          <w:tcPr>
            <w:tcW w:w="725" w:type="dxa"/>
            <w:tcBorders>
              <w:bottom w:val="single" w:sz="4" w:space="0" w:color="00000A"/>
              <w:right w:val="single" w:sz="8" w:space="0" w:color="A3A3A3"/>
              <w:insideH w:val="single" w:sz="4" w:space="0" w:color="00000A"/>
              <w:insideV w:val="single" w:sz="8" w:space="0" w:color="A3A3A3"/>
            </w:tcBorders>
            <w:shd w:fill="auto" w:val="clear"/>
            <w:tcMar>
              <w:top w:w="80" w:type="dxa"/>
              <w:left w:w="80" w:type="dxa"/>
              <w:bottom w:w="80" w:type="dxa"/>
              <w:right w:w="80" w:type="dxa"/>
            </w:tcMar>
          </w:tcPr>
          <w:p>
            <w:pPr>
              <w:pStyle w:val="Normal"/>
              <w:rPr>
                <w:rFonts w:ascii="Calibri" w:hAnsi="Calibri" w:cs="Times New Roman"/>
              </w:rPr>
            </w:pPr>
            <w:r>
              <w:rPr>
                <w:rFonts w:cs="Times New Roman"/>
                <w:sz w:val="22"/>
                <w:szCs w:val="22"/>
              </w:rPr>
              <w:t>all</w:t>
            </w:r>
          </w:p>
        </w:tc>
        <w:tc>
          <w:tcPr>
            <w:tcW w:w="1719" w:type="dxa"/>
            <w:tcBorders>
              <w:bottom w:val="single" w:sz="4" w:space="0" w:color="00000A"/>
              <w:right w:val="single" w:sz="8" w:space="0" w:color="A3A3A3"/>
              <w:insideH w:val="single" w:sz="4" w:space="0" w:color="00000A"/>
              <w:insideV w:val="single" w:sz="8" w:space="0" w:color="A3A3A3"/>
            </w:tcBorders>
            <w:shd w:fill="auto" w:val="clear"/>
            <w:tcMar>
              <w:top w:w="80" w:type="dxa"/>
              <w:left w:w="80" w:type="dxa"/>
              <w:bottom w:w="80" w:type="dxa"/>
              <w:right w:w="80" w:type="dxa"/>
            </w:tcMar>
          </w:tcPr>
          <w:p>
            <w:pPr>
              <w:pStyle w:val="Normal"/>
              <w:rPr>
                <w:rFonts w:ascii="Calibri" w:hAnsi="Calibri" w:cs="Times New Roman"/>
              </w:rPr>
            </w:pPr>
            <w:r>
              <w:rPr>
                <w:rFonts w:cs="Times New Roman"/>
                <w:sz w:val="22"/>
                <w:szCs w:val="22"/>
              </w:rPr>
              <w:t>Total c-Jun</w:t>
            </w:r>
          </w:p>
        </w:tc>
        <w:tc>
          <w:tcPr>
            <w:tcW w:w="3951" w:type="dxa"/>
            <w:tcBorders>
              <w:bottom w:val="single" w:sz="4" w:space="0" w:color="00000A"/>
              <w:right w:val="single" w:sz="4" w:space="0" w:color="00000A"/>
              <w:insideH w:val="single" w:sz="4" w:space="0" w:color="00000A"/>
              <w:insideV w:val="single" w:sz="4" w:space="0" w:color="00000A"/>
            </w:tcBorders>
            <w:shd w:fill="auto" w:val="clear"/>
            <w:tcMar>
              <w:top w:w="80" w:type="dxa"/>
              <w:left w:w="80" w:type="dxa"/>
              <w:bottom w:w="80" w:type="dxa"/>
              <w:right w:w="80" w:type="dxa"/>
            </w:tcMar>
          </w:tcPr>
          <w:p>
            <w:pPr>
              <w:pStyle w:val="Normal"/>
              <w:rPr>
                <w:rFonts w:ascii="Calibri" w:hAnsi="Calibri" w:cs="Times New Roman"/>
              </w:rPr>
            </w:pPr>
            <w:r>
              <w:rPr>
                <w:rFonts w:cs="Times New Roman"/>
                <w:sz w:val="22"/>
                <w:szCs w:val="22"/>
              </w:rPr>
              <w:t>We observe a dose-dependent increase in total c-Jun in the cell line RVH421 but a dose-dependent decrease in total c-Jun in the cell line C32.</w:t>
            </w:r>
          </w:p>
        </w:tc>
      </w:tr>
    </w:tbl>
    <w:p>
      <w:pPr>
        <w:pStyle w:val="Normal"/>
        <w:rPr>
          <w:rFonts w:ascii="Calibri" w:hAnsi="Calibri" w:cs="Times New Roman"/>
          <w:color w:val="000000"/>
        </w:rPr>
      </w:pPr>
      <w:r>
        <w:rPr>
          <w:rFonts w:cs="Times New Roman"/>
          <w:color w:val="000000"/>
          <w:sz w:val="22"/>
          <w:szCs w:val="22"/>
        </w:rPr>
        <w:t> </w:t>
      </w:r>
    </w:p>
    <w:p>
      <w:pPr>
        <w:pStyle w:val="Normal"/>
        <w:rPr/>
      </w:pPr>
      <w:r>
        <w:rPr/>
      </w:r>
      <w:r>
        <w:br w:type="page"/>
      </w:r>
    </w:p>
    <w:p>
      <w:pPr>
        <w:pStyle w:val="Heading1"/>
        <w:rPr/>
      </w:pPr>
      <w:r>
        <w:rPr/>
        <w:t>Finding 1</w:t>
      </w:r>
    </w:p>
    <w:p>
      <w:pPr>
        <w:pStyle w:val="Normal"/>
        <w:rPr/>
      </w:pPr>
      <w:r>
        <w:rPr/>
        <w:drawing>
          <wp:inline distT="0" distB="0" distL="0" distR="0">
            <wp:extent cx="5943600" cy="5943600"/>
            <wp:effectExtent l="0" t="0" r="0" b="0"/>
            <wp:docPr id="1" name="Picture 9" descr="/var/folders/3v/w6tyb4h90bv0knvj7vsx_04c0000gn/T/com.apple.Preview/com.apple.Preview.PasteboardItems/explan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var/folders/3v/w6tyb4h90bv0knvj7vsx_04c0000gn/T/com.apple.Preview/com.apple.Preview.PasteboardItems/explanation_2.png"/>
                    <pic:cNvPicPr>
                      <a:picLocks noChangeAspect="1" noChangeArrowheads="1"/>
                    </pic:cNvPicPr>
                  </pic:nvPicPr>
                  <pic:blipFill>
                    <a:blip r:embed="rId2"/>
                    <a:stretch>
                      <a:fillRect/>
                    </a:stretch>
                  </pic:blipFill>
                  <pic:spPr bwMode="auto">
                    <a:xfrm>
                      <a:off x="0" y="0"/>
                      <a:ext cx="5943600" cy="5943600"/>
                    </a:xfrm>
                    <a:prstGeom prst="rect">
                      <a:avLst/>
                    </a:prstGeom>
                  </pic:spPr>
                </pic:pic>
              </a:graphicData>
            </a:graphic>
          </wp:inline>
        </w:drawing>
      </w:r>
    </w:p>
    <w:p>
      <w:pPr>
        <w:pStyle w:val="Normal"/>
        <w:rPr>
          <w:rFonts w:ascii="Calibri" w:hAnsi="Calibri" w:cs="Times New Roman"/>
          <w:sz w:val="22"/>
          <w:szCs w:val="22"/>
        </w:rPr>
      </w:pPr>
      <w:r>
        <w:rPr>
          <w:rFonts w:cs="Times New Roman"/>
          <w:sz w:val="22"/>
          <w:szCs w:val="22"/>
        </w:rPr>
      </w:r>
    </w:p>
    <w:p>
      <w:pPr>
        <w:pStyle w:val="Normal"/>
        <w:rPr/>
      </w:pPr>
      <w:r>
        <w:rPr>
          <w:rFonts w:cs="Times New Roman"/>
          <w:sz w:val="22"/>
          <w:szCs w:val="22"/>
        </w:rPr>
        <w:t>Each row in this figure corresponds to a drug (labels to the right of each row in gray boxes). Each column corresponds to a cell line (labels in gray boxes at the top of the plot). We observe a dose-dependent decrease of p-S6(S235/236) across five cell lines and drugs. Feel free to use any or all of the time points in your explanation.</w:t>
      </w:r>
    </w:p>
    <w:p>
      <w:pPr>
        <w:pStyle w:val="Heading1"/>
        <w:rPr/>
      </w:pPr>
      <w:r>
        <w:rPr/>
        <w:t>Finding 2</w:t>
      </w:r>
    </w:p>
    <w:p>
      <w:pPr>
        <w:pStyle w:val="Normal"/>
        <w:rPr/>
      </w:pPr>
      <w:r>
        <w:rPr/>
        <w:drawing>
          <wp:inline distT="0" distB="0" distL="0" distR="0">
            <wp:extent cx="5943600" cy="5943600"/>
            <wp:effectExtent l="0" t="0" r="0" b="0"/>
            <wp:docPr id="2" name="Picture 5" descr="/var/folders/3v/w6tyb4h90bv0knvj7vsx_04c0000gn/T/com.apple.Preview/com.apple.Preview.PasteboardItems/explanatio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var/folders/3v/w6tyb4h90bv0knvj7vsx_04c0000gn/T/com.apple.Preview/com.apple.Preview.PasteboardItems/explanation_1.png"/>
                    <pic:cNvPicPr>
                      <a:picLocks noChangeAspect="1" noChangeArrowheads="1"/>
                    </pic:cNvPicPr>
                  </pic:nvPicPr>
                  <pic:blipFill>
                    <a:blip r:embed="rId3"/>
                    <a:stretch>
                      <a:fillRect/>
                    </a:stretch>
                  </pic:blipFill>
                  <pic:spPr bwMode="auto">
                    <a:xfrm>
                      <a:off x="0" y="0"/>
                      <a:ext cx="5943600" cy="5943600"/>
                    </a:xfrm>
                    <a:prstGeom prst="rect">
                      <a:avLst/>
                    </a:prstGeom>
                  </pic:spPr>
                </pic:pic>
              </a:graphicData>
            </a:graphic>
          </wp:inline>
        </w:drawing>
      </w:r>
    </w:p>
    <w:p>
      <w:pPr>
        <w:pStyle w:val="Normal"/>
        <w:rPr/>
      </w:pPr>
      <w:r>
        <w:rPr/>
      </w:r>
    </w:p>
    <w:p>
      <w:pPr>
        <w:pStyle w:val="Normal"/>
        <w:rPr/>
      </w:pPr>
      <w:r>
        <w:rPr>
          <w:rFonts w:cs="Times New Roman"/>
          <w:sz w:val="22"/>
          <w:szCs w:val="22"/>
        </w:rPr>
        <w:t>Each row in this figure corresponds to a drug (labels to the right of each row in gray boxes). Each column corresponds to a cell line (labels in gray boxes at the top of the plot). We observe an increase in the abundance of pERK(T202/Y204) at low dosages across all drugs in the LOXIMVI cell line at 1 hour after treatment. In contrast, the cell line RVH421 shows a dose-dependent decrease in the abundance of pERK(T202/Y204) across the time course.</w:t>
      </w:r>
    </w:p>
    <w:p>
      <w:pPr>
        <w:pStyle w:val="Heading1"/>
        <w:rPr/>
      </w:pPr>
      <w:r>
        <w:rPr/>
        <w:t>Finding 3</w:t>
      </w:r>
    </w:p>
    <w:p>
      <w:pPr>
        <w:pStyle w:val="Normal"/>
        <w:rPr/>
      </w:pPr>
      <w:r>
        <w:rPr/>
        <w:drawing>
          <wp:inline distT="0" distB="8890" distL="0" distR="8890">
            <wp:extent cx="5807710" cy="5807710"/>
            <wp:effectExtent l="0" t="0" r="0" b="0"/>
            <wp:docPr id="3" name="Picture 10" descr="/var/folders/3v/w6tyb4h90bv0knvj7vsx_04c0000gn/T/com.apple.Preview/com.apple.Preview.PasteboardItems/explanation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var/folders/3v/w6tyb4h90bv0knvj7vsx_04c0000gn/T/com.apple.Preview/com.apple.Preview.PasteboardItems/explanation_3.png"/>
                    <pic:cNvPicPr>
                      <a:picLocks noChangeAspect="1" noChangeArrowheads="1"/>
                    </pic:cNvPicPr>
                  </pic:nvPicPr>
                  <pic:blipFill>
                    <a:blip r:embed="rId4"/>
                    <a:stretch>
                      <a:fillRect/>
                    </a:stretch>
                  </pic:blipFill>
                  <pic:spPr bwMode="auto">
                    <a:xfrm>
                      <a:off x="0" y="0"/>
                      <a:ext cx="5807710" cy="5807710"/>
                    </a:xfrm>
                    <a:prstGeom prst="rect">
                      <a:avLst/>
                    </a:prstGeom>
                  </pic:spPr>
                </pic:pic>
              </a:graphicData>
            </a:graphic>
          </wp:inline>
        </w:drawing>
      </w:r>
    </w:p>
    <w:p>
      <w:pPr>
        <w:pStyle w:val="Normal"/>
        <w:rPr/>
      </w:pPr>
      <w:r>
        <w:rPr>
          <w:rFonts w:cs="Times New Roman"/>
          <w:sz w:val="22"/>
          <w:szCs w:val="22"/>
        </w:rPr>
        <w:t>Each subplot in this figure corresponds to measurements in the cell line LOXIMVI. Each row in this figure corresponds to a drug (labels to the right of each row in gray boxes). Each column corresponds to a drug concentration in µM (labels in gray boxes at the top of the plot). We observe a dose-dependent decrease of in the abundance of p-Histone H3(S10) in the cell line LOXIMVI in response to AZ628 but not in response to the other drugs.</w:t>
      </w:r>
    </w:p>
    <w:p>
      <w:pPr>
        <w:pStyle w:val="Heading1"/>
        <w:rPr/>
      </w:pPr>
      <w:r>
        <w:rPr/>
        <w:t>Finding 4</w:t>
      </w:r>
    </w:p>
    <w:p>
      <w:pPr>
        <w:pStyle w:val="Normal"/>
        <w:rPr/>
      </w:pPr>
      <w:r>
        <w:rPr/>
        <w:drawing>
          <wp:inline distT="0" distB="6350" distL="0" distR="6350">
            <wp:extent cx="6724650" cy="6724650"/>
            <wp:effectExtent l="0" t="0" r="0" b="0"/>
            <wp:docPr id="4" name="Picture 11" descr="/var/folders/3v/w6tyb4h90bv0knvj7vsx_04c0000gn/T/com.apple.Preview/com.apple.Preview.PasteboardItems/explanation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var/folders/3v/w6tyb4h90bv0knvj7vsx_04c0000gn/T/com.apple.Preview/com.apple.Preview.PasteboardItems/explanation_4.png"/>
                    <pic:cNvPicPr>
                      <a:picLocks noChangeAspect="1" noChangeArrowheads="1"/>
                    </pic:cNvPicPr>
                  </pic:nvPicPr>
                  <pic:blipFill>
                    <a:blip r:embed="rId5"/>
                    <a:stretch>
                      <a:fillRect/>
                    </a:stretch>
                  </pic:blipFill>
                  <pic:spPr bwMode="auto">
                    <a:xfrm>
                      <a:off x="0" y="0"/>
                      <a:ext cx="6724650" cy="6724650"/>
                    </a:xfrm>
                    <a:prstGeom prst="rect">
                      <a:avLst/>
                    </a:prstGeom>
                  </pic:spPr>
                </pic:pic>
              </a:graphicData>
            </a:graphic>
          </wp:inline>
        </w:drawing>
      </w:r>
    </w:p>
    <w:p>
      <w:pPr>
        <w:pStyle w:val="Normal"/>
        <w:rPr/>
      </w:pPr>
      <w:r>
        <w:rPr>
          <w:rFonts w:cs="Times New Roman"/>
          <w:sz w:val="22"/>
          <w:szCs w:val="22"/>
        </w:rPr>
        <w:t>Each row in this figure corresponds to a drug (labels to the right of each row in gray boxes). Each column corresponds to a cell line (labels in gray boxes at the top of the plot). During intermediate time points, we observe a decrease in the abundance of p-AKT(S473) in the cell line WM115 but not in the cell line C32.</w:t>
      </w:r>
    </w:p>
    <w:p>
      <w:pPr>
        <w:pStyle w:val="Heading1"/>
        <w:rPr/>
      </w:pPr>
      <w:r>
        <w:rPr/>
        <w:t>Finding 5</w:t>
      </w:r>
    </w:p>
    <w:p>
      <w:pPr>
        <w:pStyle w:val="Normal"/>
        <w:rPr/>
      </w:pPr>
      <w:r>
        <w:rPr/>
        <w:drawing>
          <wp:inline distT="0" distB="0" distL="0" distR="0">
            <wp:extent cx="6858000" cy="6858000"/>
            <wp:effectExtent l="0" t="0" r="0" b="0"/>
            <wp:docPr id="5" name="Picture 12" descr="/var/folders/3v/w6tyb4h90bv0knvj7vsx_04c0000gn/T/com.apple.Preview/com.apple.Preview.PasteboardItems/explanation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var/folders/3v/w6tyb4h90bv0knvj7vsx_04c0000gn/T/com.apple.Preview/com.apple.Preview.PasteboardItems/explanation_5.png"/>
                    <pic:cNvPicPr>
                      <a:picLocks noChangeAspect="1" noChangeArrowheads="1"/>
                    </pic:cNvPicPr>
                  </pic:nvPicPr>
                  <pic:blipFill>
                    <a:blip r:embed="rId6"/>
                    <a:stretch>
                      <a:fillRect/>
                    </a:stretch>
                  </pic:blipFill>
                  <pic:spPr bwMode="auto">
                    <a:xfrm>
                      <a:off x="0" y="0"/>
                      <a:ext cx="6858000" cy="6858000"/>
                    </a:xfrm>
                    <a:prstGeom prst="rect">
                      <a:avLst/>
                    </a:prstGeom>
                  </pic:spPr>
                </pic:pic>
              </a:graphicData>
            </a:graphic>
          </wp:inline>
        </w:drawing>
      </w:r>
    </w:p>
    <w:p>
      <w:pPr>
        <w:pStyle w:val="Normal"/>
        <w:rPr/>
      </w:pPr>
      <w:r>
        <w:rPr>
          <w:rFonts w:cs="Times New Roman"/>
          <w:sz w:val="22"/>
          <w:szCs w:val="22"/>
        </w:rPr>
        <w:t>Each row in this figure corresponds to a drug (labels to the right of each row in gray boxes). Each column corresponds to a cell line (labels in gray boxes at the top of the plot). We observe a dose-dependent increase in total c-Jun in the cell line RVH421 but a dose-dependent decrease in total c-Jun in the cell line C32.</w:t>
      </w:r>
    </w:p>
    <w:sectPr>
      <w:footnotePr>
        <w:numFmt w:val="decimal"/>
      </w:footnotePr>
      <w:type w:val="nextPage"/>
      <w:pgSz w:w="12240" w:h="15840"/>
      <w:pgMar w:left="1440" w:right="1440" w:header="0"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text"/>
        <w:rPr/>
      </w:pPr>
      <w:r>
        <w:rPr>
          <w:rStyle w:val="Footnotereference"/>
        </w:rPr>
        <w:footnoteRef/>
        <w:tab/>
      </w:r>
      <w:r>
        <w:rPr/>
        <w:t xml:space="preserve"> </w:t>
      </w:r>
      <w:hyperlink r:id="rId1">
        <w:r>
          <w:rPr>
            <w:rStyle w:val="InternetLink"/>
          </w:rPr>
          <w:t>https://www.ncbi.nlm.nih.gov/pubmed/25814555</w:t>
        </w:r>
      </w:hyperlink>
      <w:r>
        <w:rPr/>
        <w:t xml:space="preserve"> </w:t>
      </w:r>
    </w:p>
  </w:footnote>
  <w:footnote w:id="3">
    <w:p>
      <w:pPr>
        <w:pStyle w:val="Footnotetext"/>
        <w:rPr/>
      </w:pPr>
      <w:r>
        <w:rPr>
          <w:rStyle w:val="Footnotereference"/>
        </w:rPr>
        <w:footnoteRef/>
        <w:tab/>
      </w:r>
      <w:r>
        <w:rPr/>
        <w:t xml:space="preserve"> </w:t>
      </w:r>
      <w:hyperlink r:id="rId2">
        <w:r>
          <w:rPr>
            <w:rStyle w:val="InternetLink"/>
          </w:rPr>
          <w:t>https://handshake.mitre.org/groups/profile/15081483/big-mechanism-phase-iii-evaluation</w:t>
        </w:r>
      </w:hyperlink>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Fonts w:cs="Courier New"/>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Fonts w:cs="Courier New"/>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Fonts w:cs="Courier New"/>
      </w:rPr>
    </w:lvl>
    <w:lvl w:ilvl="8">
      <w:start w:val="1"/>
      <w:numFmt w:val="bullet"/>
      <w:lvlText w:val=""/>
      <w:lvlJc w:val="left"/>
      <w:pPr>
        <w:ind w:left="6540" w:hanging="360"/>
      </w:pPr>
      <w:rPr>
        <w:rFonts w:ascii="Wingdings" w:hAnsi="Wingdings" w:cs="Wingdings" w:hint="default"/>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59"/>
  <w:defaultTabStop w:val="720"/>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x-none" w:bidi="x-non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bidi w:val="0"/>
      <w:jc w:val="left"/>
    </w:pPr>
    <w:rPr>
      <w:rFonts w:ascii="Calibri" w:hAnsi="Calibri" w:eastAsia="Calibri" w:cs="" w:asciiTheme="minorHAnsi" w:cstheme="minorBidi" w:eastAsiaTheme="minorHAnsi" w:hAnsiTheme="minorHAnsi"/>
      <w:color w:val="auto"/>
      <w:sz w:val="24"/>
      <w:szCs w:val="24"/>
      <w:lang w:val="en-US" w:eastAsia="en-US" w:bidi="ar-SA"/>
    </w:rPr>
  </w:style>
  <w:style w:type="paragraph" w:styleId="Heading1">
    <w:name w:val="Heading 1"/>
    <w:basedOn w:val="Normal"/>
    <w:next w:val="Normal"/>
    <w:link w:val="Heading1Char"/>
    <w:uiPriority w:val="9"/>
    <w:qFormat/>
    <w:rsid w:val="00eb63fd"/>
    <w:pPr>
      <w:keepNext/>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d32109"/>
    <w:pPr>
      <w:keepNext/>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eb63fd"/>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d32109"/>
    <w:rPr>
      <w:rFonts w:ascii="Calibri Light" w:hAnsi="Calibri Light" w:eastAsia="" w:cs="" w:asciiTheme="majorHAnsi" w:cstheme="majorBidi" w:eastAsiaTheme="majorEastAsia" w:hAnsiTheme="majorHAnsi"/>
      <w:color w:val="2F5496" w:themeColor="accent1" w:themeShade="bf"/>
      <w:sz w:val="26"/>
      <w:szCs w:val="26"/>
    </w:rPr>
  </w:style>
  <w:style w:type="character" w:styleId="Annotationreference">
    <w:name w:val="annotation reference"/>
    <w:basedOn w:val="DefaultParagraphFont"/>
    <w:uiPriority w:val="99"/>
    <w:semiHidden/>
    <w:unhideWhenUsed/>
    <w:qFormat/>
    <w:rsid w:val="00b10c83"/>
    <w:rPr>
      <w:sz w:val="18"/>
      <w:szCs w:val="18"/>
    </w:rPr>
  </w:style>
  <w:style w:type="character" w:styleId="CommentTextChar" w:customStyle="1">
    <w:name w:val="Comment Text Char"/>
    <w:basedOn w:val="DefaultParagraphFont"/>
    <w:link w:val="CommentText"/>
    <w:uiPriority w:val="99"/>
    <w:semiHidden/>
    <w:qFormat/>
    <w:rsid w:val="00b10c83"/>
    <w:rPr/>
  </w:style>
  <w:style w:type="character" w:styleId="CommentSubjectChar" w:customStyle="1">
    <w:name w:val="Comment Subject Char"/>
    <w:basedOn w:val="CommentTextChar"/>
    <w:link w:val="CommentSubject"/>
    <w:uiPriority w:val="99"/>
    <w:semiHidden/>
    <w:qFormat/>
    <w:rsid w:val="00b10c83"/>
    <w:rPr>
      <w:b/>
      <w:bCs/>
      <w:sz w:val="20"/>
      <w:szCs w:val="20"/>
    </w:rPr>
  </w:style>
  <w:style w:type="character" w:styleId="BalloonTextChar" w:customStyle="1">
    <w:name w:val="Balloon Text Char"/>
    <w:basedOn w:val="DefaultParagraphFont"/>
    <w:link w:val="BalloonText"/>
    <w:uiPriority w:val="99"/>
    <w:semiHidden/>
    <w:qFormat/>
    <w:rsid w:val="00b10c83"/>
    <w:rPr>
      <w:rFonts w:ascii="Times New Roman" w:hAnsi="Times New Roman" w:cs="Times New Roman"/>
      <w:sz w:val="18"/>
      <w:szCs w:val="18"/>
    </w:rPr>
  </w:style>
  <w:style w:type="character" w:styleId="InternetLink">
    <w:name w:val="Internet Link"/>
    <w:basedOn w:val="DefaultParagraphFont"/>
    <w:uiPriority w:val="99"/>
    <w:unhideWhenUsed/>
    <w:rsid w:val="00e13004"/>
    <w:rPr>
      <w:color w:val="0563C1" w:themeColor="hyperlink"/>
      <w:u w:val="single"/>
    </w:rPr>
  </w:style>
  <w:style w:type="character" w:styleId="Mention">
    <w:name w:val="Mention"/>
    <w:basedOn w:val="DefaultParagraphFont"/>
    <w:uiPriority w:val="99"/>
    <w:semiHidden/>
    <w:unhideWhenUsed/>
    <w:qFormat/>
    <w:rsid w:val="00d0161a"/>
    <w:rPr>
      <w:color w:val="2B579A"/>
      <w:shd w:fill="E6E6E6" w:val="clear"/>
    </w:rPr>
  </w:style>
  <w:style w:type="character" w:styleId="FollowedHyperlink">
    <w:name w:val="FollowedHyperlink"/>
    <w:basedOn w:val="DefaultParagraphFont"/>
    <w:uiPriority w:val="99"/>
    <w:semiHidden/>
    <w:unhideWhenUsed/>
    <w:qFormat/>
    <w:rsid w:val="00c74538"/>
    <w:rPr>
      <w:color w:val="954F72" w:themeColor="followedHyperlink"/>
      <w:u w:val="single"/>
    </w:rPr>
  </w:style>
  <w:style w:type="character" w:styleId="FootnoteTextChar" w:customStyle="1">
    <w:name w:val="Footnote Text Char"/>
    <w:basedOn w:val="DefaultParagraphFont"/>
    <w:link w:val="FootnoteText"/>
    <w:uiPriority w:val="99"/>
    <w:qFormat/>
    <w:rsid w:val="00183e9d"/>
    <w:rPr/>
  </w:style>
  <w:style w:type="character" w:styleId="Footnotereference">
    <w:name w:val="footnote reference"/>
    <w:basedOn w:val="DefaultParagraphFont"/>
    <w:uiPriority w:val="99"/>
    <w:unhideWhenUsed/>
    <w:qFormat/>
    <w:rsid w:val="00183e9d"/>
    <w:rPr>
      <w:vertAlign w:val="superscript"/>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f85d85"/>
    <w:pPr>
      <w:spacing w:before="0" w:after="0"/>
      <w:ind w:left="720" w:hanging="0"/>
      <w:contextualSpacing/>
    </w:pPr>
    <w:rPr/>
  </w:style>
  <w:style w:type="paragraph" w:styleId="Annotationtext">
    <w:name w:val="annotation text"/>
    <w:basedOn w:val="Normal"/>
    <w:link w:val="CommentTextChar"/>
    <w:uiPriority w:val="99"/>
    <w:semiHidden/>
    <w:unhideWhenUsed/>
    <w:qFormat/>
    <w:rsid w:val="00b10c83"/>
    <w:pPr/>
    <w:rPr/>
  </w:style>
  <w:style w:type="paragraph" w:styleId="Annotationsubject">
    <w:name w:val="annotation subject"/>
    <w:basedOn w:val="Annotationtext"/>
    <w:link w:val="CommentSubjectChar"/>
    <w:uiPriority w:val="99"/>
    <w:semiHidden/>
    <w:unhideWhenUsed/>
    <w:qFormat/>
    <w:rsid w:val="00b10c83"/>
    <w:pPr/>
    <w:rPr>
      <w:b/>
      <w:bCs/>
      <w:sz w:val="20"/>
      <w:szCs w:val="20"/>
    </w:rPr>
  </w:style>
  <w:style w:type="paragraph" w:styleId="BalloonText">
    <w:name w:val="Balloon Text"/>
    <w:basedOn w:val="Normal"/>
    <w:link w:val="BalloonTextChar"/>
    <w:uiPriority w:val="99"/>
    <w:semiHidden/>
    <w:unhideWhenUsed/>
    <w:qFormat/>
    <w:rsid w:val="00b10c83"/>
    <w:pPr/>
    <w:rPr>
      <w:rFonts w:ascii="Times New Roman" w:hAnsi="Times New Roman" w:cs="Times New Roman"/>
      <w:sz w:val="18"/>
      <w:szCs w:val="18"/>
    </w:rPr>
  </w:style>
  <w:style w:type="paragraph" w:styleId="Revision">
    <w:name w:val="Revision"/>
    <w:uiPriority w:val="99"/>
    <w:semiHidden/>
    <w:qFormat/>
    <w:rsid w:val="00a8505a"/>
    <w:pPr>
      <w:widowControl/>
      <w:bidi w:val="0"/>
      <w:jc w:val="left"/>
    </w:pPr>
    <w:rPr>
      <w:rFonts w:ascii="Calibri" w:hAnsi="Calibri" w:eastAsia="Calibri" w:cs="" w:asciiTheme="minorHAnsi" w:cstheme="minorBidi" w:eastAsiaTheme="minorHAnsi" w:hAnsiTheme="minorHAnsi"/>
      <w:color w:val="auto"/>
      <w:sz w:val="24"/>
      <w:szCs w:val="24"/>
      <w:lang w:val="en-US" w:eastAsia="en-US" w:bidi="ar-SA"/>
    </w:rPr>
  </w:style>
  <w:style w:type="paragraph" w:styleId="Footnotetext">
    <w:name w:val="footnote text"/>
    <w:basedOn w:val="Normal"/>
    <w:link w:val="FootnoteTextChar"/>
    <w:uiPriority w:val="99"/>
    <w:unhideWhenUsed/>
    <w:qFormat/>
    <w:rsid w:val="00183e9d"/>
    <w:pPr/>
    <w:rPr/>
  </w:style>
  <w:style w:type="paragraph" w:styleId="Footnote">
    <w:name w:val="Footnote Text"/>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otnotes" Target="footnotes.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www.ncbi.nlm.nih.gov/pubmed/25814555" TargetMode="External"/><Relationship Id="rId2" Type="http://schemas.openxmlformats.org/officeDocument/2006/relationships/hyperlink" Target="https://handshake.mitre.org/groups/profile/15081483/big-mechanism-phase-iii-evalu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A3196-F349-F54A-8397-37CD3BADF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Application>LibreOffice/5.1.6.2$Linux_X86_64 LibreOffice_project/10m0$Build-2</Application>
  <Pages>7</Pages>
  <Words>799</Words>
  <CharactersWithSpaces>4555</CharactersWithSpaces>
  <Paragraphs>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2017-08-15T14:49:00Z</dcterms:created>
  <dc:creator>Peterson, Matthew W.</dc:creator>
  <dc:description/>
  <dc:language>en-US</dc:language>
  <cp:lastModifiedBy>Garay, Christopher D</cp:lastModifiedBy>
  <dcterms:modified xsi:type="dcterms:W3CDTF">2017-08-15T14:49:00Z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