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Retirement App Documentation</w:t>
      </w:r>
    </w:p>
    <w:p>
      <w:pPr>
        <w:pStyle w:val="Subtitle"/>
      </w:pPr>
      <w:r>
        <w:t>User guide and technical reference</w:t>
      </w:r>
    </w:p>
    <w:p>
      <w:r>
        <w:t>Version documented 4923d99  |  October 11 2026</w:t>
      </w:r>
    </w:p>
    <w:p>
      <w:r>
        <w:t>Retirement is a Streamlit calculator that projects savings from the current age through a chosen planning age. It compares three fixed market return scenarios, deducts monthly retirement expenses, and shows whether each scenario can fund the entire retirement period.</w:t>
      </w:r>
    </w:p>
    <w:p>
      <w:r>
        <w:t>This guide explains how to enter a plan, interpret the results, maintain the calculation engine, and run or deploy the application. All financial amounts are in US dollars. The app is an illustrative calculator using the return assumptions defined in the code.</w:t>
      </w:r>
    </w:p>
    <w:p>
      <w:pPr>
        <w:pStyle w:val="Heading2"/>
      </w:pPr>
      <w:r>
        <w:t>App navigation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tcMar>
              <w:top w:w="80" w:type="dxa"/>
              <w:bottom w:w="80" w:type="dxa"/>
              <w:left w:w="110" w:type="dxa"/>
              <w:right w:w="110" w:type="dxa"/>
            </w:tcMar>
            <w:shd w:fill="203B59"/>
          </w:tcPr>
          <w:p>
            <w:pPr>
              <w:spacing w:after="0" w:line="250" w:lineRule="auto"/>
              <w:jc w:val="left"/>
            </w:pPr>
            <w:r>
              <w:rPr>
                <w:rFonts w:ascii="Aptos" w:hAnsi="Aptos"/>
                <w:b/>
                <w:color w:val="FFFFFF"/>
                <w:sz w:val="21"/>
              </w:rPr>
              <w:t>Tab</w:t>
            </w:r>
          </w:p>
        </w:tc>
        <w:tc>
          <w:tcPr>
            <w:tcW w:type="dxa" w:w="7632"/>
            <w:vAlign w:val="center"/>
            <w:tcMar>
              <w:top w:w="80" w:type="dxa"/>
              <w:bottom w:w="80" w:type="dxa"/>
              <w:left w:w="110" w:type="dxa"/>
              <w:right w:w="110" w:type="dxa"/>
            </w:tcMar>
            <w:shd w:fill="203B59"/>
          </w:tcPr>
          <w:p>
            <w:pPr>
              <w:spacing w:after="0" w:line="250" w:lineRule="auto"/>
              <w:jc w:val="left"/>
            </w:pPr>
            <w:r>
              <w:rPr>
                <w:rFonts w:ascii="Aptos" w:hAnsi="Aptos"/>
                <w:b/>
                <w:color w:val="FFFFFF"/>
                <w:sz w:val="21"/>
              </w:rPr>
              <w:t>What it contains</w:t>
            </w:r>
          </w:p>
        </w:tc>
      </w:tr>
      <w:tr>
        <w:trPr>
          <w:cantSplit/>
        </w:trPr>
        <w:tc>
          <w:tcPr>
            <w:tcW w:type="dxa" w:w="2304"/>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Your plan</w:t>
            </w:r>
          </w:p>
        </w:tc>
        <w:tc>
          <w:tcPr>
            <w:tcW w:type="dxa" w:w="7632"/>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Profile, editable accounts and contributions, monthly expenses, and Save and Clear actions.</w:t>
            </w:r>
          </w:p>
        </w:tc>
      </w:tr>
      <w:tr>
        <w:trPr>
          <w:cantSplit/>
        </w:trPr>
        <w:tc>
          <w:tcPr>
            <w:tcW w:type="dxa" w:w="2304"/>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Analysis</w:t>
            </w:r>
          </w:p>
        </w:tc>
        <w:tc>
          <w:tcPr>
            <w:tcW w:type="dxa" w:w="7632"/>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The funding status bar, monthly spending capacity, asset projections, cash flow, and CSV downloads.</w:t>
            </w:r>
          </w:p>
        </w:tc>
      </w:tr>
      <w:tr>
        <w:trPr>
          <w:cantSplit/>
        </w:trPr>
        <w:tc>
          <w:tcPr>
            <w:tcW w:type="dxa" w:w="2304"/>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Architecture &amp; Guide</w:t>
            </w:r>
          </w:p>
        </w:tc>
        <w:tc>
          <w:tcPr>
            <w:tcW w:type="dxa" w:w="7632"/>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Usage instructions, application structure, growth rates, and calculation assumptions.</w:t>
            </w:r>
          </w:p>
        </w:tc>
      </w:tr>
    </w:tbl>
    <w:p>
      <w:pPr>
        <w:spacing w:after="0"/>
      </w:pPr>
    </w:p>
    <w:p>
      <w:pPr>
        <w:pStyle w:val="Heading2"/>
      </w:pPr>
      <w:r>
        <w:t>Start with a plan</w:t>
      </w:r>
    </w:p>
    <w:p>
      <w:pPr>
        <w:pStyle w:val="ListNumber"/>
      </w:pPr>
      <w:r>
        <w:t>Enter the profile fields, account balances, yearly contributions, and monthly expense amounts in Your plan.</w:t>
      </w:r>
    </w:p>
    <w:p>
      <w:pPr>
        <w:pStyle w:val="ListNumber"/>
      </w:pPr>
      <w:r>
        <w:t>Select Save and view Analysis. Valid inputs are saved in session memory, projections are calculated, and Analysis opens.</w:t>
      </w:r>
    </w:p>
    <w:p>
      <w:pPr>
        <w:pStyle w:val="ListNumber"/>
      </w:pPr>
      <w:r>
        <w:t>Compare all three scenarios and review the monthly cash flow. Return to Your plan and save again to apply edits.</w:t>
      </w:r>
    </w:p>
    <w:p>
      <w:pPr>
        <w:pStyle w:val="ListNumber"/>
      </w:pPr>
      <w:r>
        <w:t>Use Clear to remove the inputs and saved analysis. Try an example fills the form with an illustrative plan and removes any previous saved analysis; save the example to calculate its results.</w:t>
      </w:r>
    </w:p>
    <w:p>
      <w:r>
        <w:t>Saved inputs remain available while using the tabs in the same session. Refreshing, reconnecting, or ending the browser session can reset the plan. Export results before leaving when you need a record.</w:t>
      </w:r>
    </w:p>
    <w:p>
      <w:hyperlink r:id="rId10">
        <w:r>
          <w:rPr>
            <w:color w:val="174A7A"/>
          </w:rPr>
          <w:t>Source repository on GitHub</w:t>
        </w:r>
      </w:hyperlink>
    </w:p>
    <w:p>
      <w:r>
        <w:br w:type="page"/>
      </w:r>
    </w:p>
    <w:p>
      <w:pPr>
        <w:pStyle w:val="Heading1"/>
      </w:pPr>
      <w:r>
        <w:t>Plan inputs</w:t>
      </w:r>
    </w:p>
    <w:p>
      <w:r>
        <w:t>The form starts blank, with zero account balances, contributions, and expenses. The account and expense labels are fixed; users edit the numeric cells. Example amounts below match Try an example.</w:t>
      </w:r>
    </w:p>
    <w:p>
      <w:pPr>
        <w:pStyle w:val="Heading2"/>
      </w:pPr>
      <w:r>
        <w:t>Profile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80" w:type="dxa"/>
              <w:bottom w:w="80" w:type="dxa"/>
              <w:left w:w="110" w:type="dxa"/>
              <w:right w:w="110" w:type="dxa"/>
            </w:tcMar>
            <w:shd w:fill="203B59"/>
          </w:tcPr>
          <w:p>
            <w:pPr>
              <w:spacing w:after="0" w:line="250" w:lineRule="auto"/>
              <w:jc w:val="left"/>
            </w:pPr>
            <w:r>
              <w:rPr>
                <w:rFonts w:ascii="Aptos" w:hAnsi="Aptos"/>
                <w:b/>
                <w:color w:val="FFFFFF"/>
                <w:sz w:val="21"/>
              </w:rPr>
              <w:t>Field</w:t>
            </w:r>
          </w:p>
        </w:tc>
        <w:tc>
          <w:tcPr>
            <w:tcW w:type="dxa" w:w="7560"/>
            <w:vAlign w:val="center"/>
            <w:tcMar>
              <w:top w:w="80" w:type="dxa"/>
              <w:bottom w:w="80" w:type="dxa"/>
              <w:left w:w="110" w:type="dxa"/>
              <w:right w:w="110" w:type="dxa"/>
            </w:tcMar>
            <w:shd w:fill="203B59"/>
          </w:tcPr>
          <w:p>
            <w:pPr>
              <w:spacing w:after="0" w:line="250" w:lineRule="auto"/>
              <w:jc w:val="left"/>
            </w:pPr>
            <w:r>
              <w:rPr>
                <w:rFonts w:ascii="Aptos" w:hAnsi="Aptos"/>
                <w:b/>
                <w:color w:val="FFFFFF"/>
                <w:sz w:val="21"/>
              </w:rPr>
              <w:t>Meaning and validation</w:t>
            </w:r>
          </w:p>
        </w:tc>
      </w:tr>
      <w:tr>
        <w:trPr>
          <w:cantSplit/>
        </w:trPr>
        <w:tc>
          <w:tcPr>
            <w:tcW w:type="dxa" w:w="2376"/>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Name</w:t>
            </w:r>
          </w:p>
        </w:tc>
        <w:tc>
          <w:tcPr>
            <w:tcW w:type="dxa" w:w="7560"/>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Required nonempty name used to label the analysis.</w:t>
            </w:r>
          </w:p>
        </w:tc>
      </w:tr>
      <w:tr>
        <w:trPr>
          <w:cantSplit/>
        </w:trPr>
        <w:tc>
          <w:tcPr>
            <w:tcW w:type="dxa" w:w="2376"/>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Current Age</w:t>
            </w:r>
          </w:p>
        </w:tc>
        <w:tc>
          <w:tcPr>
            <w:tcW w:type="dxa" w:w="7560"/>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Whole number from 18 to 120; starts the projection.</w:t>
            </w:r>
          </w:p>
        </w:tc>
      </w:tr>
      <w:tr>
        <w:trPr>
          <w:cantSplit/>
        </w:trPr>
        <w:tc>
          <w:tcPr>
            <w:tcW w:type="dxa" w:w="2376"/>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Age of Retirement</w:t>
            </w:r>
          </w:p>
        </w:tc>
        <w:tc>
          <w:tcPr>
            <w:tcW w:type="dxa" w:w="7560"/>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Whole number from 18 to 120, at or after Current Age. Contributions stop and withdrawals begin at this age.</w:t>
            </w:r>
          </w:p>
        </w:tc>
      </w:tr>
      <w:tr>
        <w:trPr>
          <w:cantSplit/>
        </w:trPr>
        <w:tc>
          <w:tcPr>
            <w:tcW w:type="dxa" w:w="2376"/>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Plan-to-Age</w:t>
            </w:r>
          </w:p>
        </w:tc>
        <w:tc>
          <w:tcPr>
            <w:tcW w:type="dxa" w:w="7560"/>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Whole number from 18 to 120, strictly after retirement age. Sets the final asset snapshot.</w:t>
            </w:r>
          </w:p>
        </w:tc>
      </w:tr>
      <w:tr>
        <w:trPr>
          <w:cantSplit/>
        </w:trPr>
        <w:tc>
          <w:tcPr>
            <w:tcW w:type="dxa" w:w="2376"/>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Retirement State</w:t>
            </w:r>
          </w:p>
        </w:tc>
        <w:tc>
          <w:tcPr>
            <w:tcW w:type="dxa" w:w="7560"/>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Required selection from all 50 US states, shown with full names. Descriptive only; no state tax calculation.</w:t>
            </w:r>
          </w:p>
        </w:tc>
      </w:tr>
    </w:tbl>
    <w:p>
      <w:pPr>
        <w:spacing w:after="0"/>
      </w:pPr>
    </w:p>
    <w:p>
      <w:pPr>
        <w:pStyle w:val="Heading2"/>
      </w:pPr>
      <w:r>
        <w:t>Accounts and Contributions</w:t>
      </w:r>
    </w:p>
    <w:p>
      <w:r>
        <w:t>Current Balance is the amount already saved. Contributions Yearly is the amount added to that account each saving year before retirement. Zero is allowed; all amounts must be finite and nonnegative. The UI limits each monetary input to $1 trillion.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032"/>
        <w:gridCol w:w="4032"/>
      </w:tblGrid>
      <w:tr>
        <w:trPr>
          <w:cantSplit/>
          <w:tblHeader/>
        </w:trPr>
        <w:tc>
          <w:tcPr>
            <w:tcW w:type="dxa" w:w="1872"/>
            <w:vAlign w:val="center"/>
            <w:tcMar>
              <w:top w:w="80" w:type="dxa"/>
              <w:bottom w:w="80" w:type="dxa"/>
              <w:left w:w="110" w:type="dxa"/>
              <w:right w:w="110" w:type="dxa"/>
            </w:tcMar>
            <w:shd w:fill="203B59"/>
          </w:tcPr>
          <w:p>
            <w:pPr>
              <w:spacing w:after="0" w:line="250" w:lineRule="auto"/>
              <w:jc w:val="left"/>
            </w:pPr>
            <w:r>
              <w:rPr>
                <w:rFonts w:ascii="Aptos" w:hAnsi="Aptos"/>
                <w:b/>
                <w:color w:val="FFFFFF"/>
                <w:sz w:val="21"/>
              </w:rPr>
              <w:t>Account</w:t>
            </w:r>
          </w:p>
        </w:tc>
        <w:tc>
          <w:tcPr>
            <w:tcW w:type="dxa" w:w="4032"/>
            <w:vAlign w:val="center"/>
            <w:tcMar>
              <w:top w:w="80" w:type="dxa"/>
              <w:bottom w:w="80" w:type="dxa"/>
              <w:left w:w="110" w:type="dxa"/>
              <w:right w:w="110" w:type="dxa"/>
            </w:tcMar>
            <w:shd w:fill="203B59"/>
          </w:tcPr>
          <w:p>
            <w:pPr>
              <w:spacing w:after="0" w:line="250" w:lineRule="auto"/>
              <w:jc w:val="center"/>
            </w:pPr>
            <w:r>
              <w:rPr>
                <w:rFonts w:ascii="Aptos" w:hAnsi="Aptos"/>
                <w:b/>
                <w:color w:val="FFFFFF"/>
                <w:sz w:val="21"/>
              </w:rPr>
              <w:t>Example current balance</w:t>
            </w:r>
          </w:p>
        </w:tc>
        <w:tc>
          <w:tcPr>
            <w:tcW w:type="dxa" w:w="4032"/>
            <w:vAlign w:val="center"/>
            <w:tcMar>
              <w:top w:w="80" w:type="dxa"/>
              <w:bottom w:w="80" w:type="dxa"/>
              <w:left w:w="110" w:type="dxa"/>
              <w:right w:w="110" w:type="dxa"/>
            </w:tcMar>
            <w:shd w:fill="203B59"/>
          </w:tcPr>
          <w:p>
            <w:pPr>
              <w:spacing w:after="0" w:line="250" w:lineRule="auto"/>
              <w:jc w:val="center"/>
            </w:pPr>
            <w:r>
              <w:rPr>
                <w:rFonts w:ascii="Aptos" w:hAnsi="Aptos"/>
                <w:b/>
                <w:color w:val="FFFFFF"/>
                <w:sz w:val="21"/>
              </w:rPr>
              <w:t>Example yearly contribution</w:t>
            </w:r>
          </w:p>
        </w:tc>
      </w:tr>
      <w:tr>
        <w:trPr>
          <w:cantSplit/>
        </w:trPr>
        <w:tc>
          <w:tcPr>
            <w:tcW w:type="dxa" w:w="1872"/>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401 k</w:t>
            </w:r>
          </w:p>
        </w:tc>
        <w:tc>
          <w:tcPr>
            <w:tcW w:type="dxa" w:w="4032"/>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$250,000</w:t>
            </w:r>
          </w:p>
        </w:tc>
        <w:tc>
          <w:tcPr>
            <w:tcW w:type="dxa" w:w="4032"/>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$23,000</w:t>
            </w:r>
          </w:p>
        </w:tc>
      </w:tr>
      <w:tr>
        <w:trPr>
          <w:cantSplit/>
        </w:trPr>
        <w:tc>
          <w:tcPr>
            <w:tcW w:type="dxa" w:w="1872"/>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IRA</w:t>
            </w:r>
          </w:p>
        </w:tc>
        <w:tc>
          <w:tcPr>
            <w:tcW w:type="dxa" w:w="4032"/>
            <w:vAlign w:val="center"/>
            <w:tcMar>
              <w:top w:w="80" w:type="dxa"/>
              <w:bottom w:w="80" w:type="dxa"/>
              <w:left w:w="110" w:type="dxa"/>
              <w:right w:w="110" w:type="dxa"/>
            </w:tcMar>
            <w:shd w:fill="F1F5F8"/>
          </w:tcPr>
          <w:p>
            <w:pPr>
              <w:spacing w:after="0" w:line="250" w:lineRule="auto"/>
              <w:jc w:val="center"/>
            </w:pPr>
            <w:r>
              <w:rPr>
                <w:rFonts w:ascii="Aptos" w:hAnsi="Aptos"/>
                <w:b w:val="0"/>
                <w:color w:val="000000"/>
                <w:sz w:val="21"/>
              </w:rPr>
              <w:t>$60,000</w:t>
            </w:r>
          </w:p>
        </w:tc>
        <w:tc>
          <w:tcPr>
            <w:tcW w:type="dxa" w:w="4032"/>
            <w:vAlign w:val="center"/>
            <w:tcMar>
              <w:top w:w="80" w:type="dxa"/>
              <w:bottom w:w="80" w:type="dxa"/>
              <w:left w:w="110" w:type="dxa"/>
              <w:right w:w="110" w:type="dxa"/>
            </w:tcMar>
            <w:shd w:fill="F1F5F8"/>
          </w:tcPr>
          <w:p>
            <w:pPr>
              <w:spacing w:after="0" w:line="250" w:lineRule="auto"/>
              <w:jc w:val="center"/>
            </w:pPr>
            <w:r>
              <w:rPr>
                <w:rFonts w:ascii="Aptos" w:hAnsi="Aptos"/>
                <w:b w:val="0"/>
                <w:color w:val="000000"/>
                <w:sz w:val="21"/>
              </w:rPr>
              <w:t>$7,000</w:t>
            </w:r>
          </w:p>
        </w:tc>
      </w:tr>
      <w:tr>
        <w:trPr>
          <w:cantSplit/>
        </w:trPr>
        <w:tc>
          <w:tcPr>
            <w:tcW w:type="dxa" w:w="1872"/>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Brokerage</w:t>
            </w:r>
          </w:p>
        </w:tc>
        <w:tc>
          <w:tcPr>
            <w:tcW w:type="dxa" w:w="4032"/>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$40,000</w:t>
            </w:r>
          </w:p>
        </w:tc>
        <w:tc>
          <w:tcPr>
            <w:tcW w:type="dxa" w:w="4032"/>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$6,000</w:t>
            </w:r>
          </w:p>
        </w:tc>
      </w:tr>
      <w:tr>
        <w:trPr>
          <w:cantSplit/>
        </w:trPr>
        <w:tc>
          <w:tcPr>
            <w:tcW w:type="dxa" w:w="1872"/>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HYSA</w:t>
            </w:r>
          </w:p>
        </w:tc>
        <w:tc>
          <w:tcPr>
            <w:tcW w:type="dxa" w:w="4032"/>
            <w:vAlign w:val="center"/>
            <w:tcMar>
              <w:top w:w="80" w:type="dxa"/>
              <w:bottom w:w="80" w:type="dxa"/>
              <w:left w:w="110" w:type="dxa"/>
              <w:right w:w="110" w:type="dxa"/>
            </w:tcMar>
            <w:shd w:fill="F1F5F8"/>
          </w:tcPr>
          <w:p>
            <w:pPr>
              <w:spacing w:after="0" w:line="250" w:lineRule="auto"/>
              <w:jc w:val="center"/>
            </w:pPr>
            <w:r>
              <w:rPr>
                <w:rFonts w:ascii="Aptos" w:hAnsi="Aptos"/>
                <w:b w:val="0"/>
                <w:color w:val="000000"/>
                <w:sz w:val="21"/>
              </w:rPr>
              <w:t>$15,000</w:t>
            </w:r>
          </w:p>
        </w:tc>
        <w:tc>
          <w:tcPr>
            <w:tcW w:type="dxa" w:w="4032"/>
            <w:vAlign w:val="center"/>
            <w:tcMar>
              <w:top w:w="80" w:type="dxa"/>
              <w:bottom w:w="80" w:type="dxa"/>
              <w:left w:w="110" w:type="dxa"/>
              <w:right w:w="110" w:type="dxa"/>
            </w:tcMar>
            <w:shd w:fill="F1F5F8"/>
          </w:tcPr>
          <w:p>
            <w:pPr>
              <w:spacing w:after="0" w:line="250" w:lineRule="auto"/>
              <w:jc w:val="center"/>
            </w:pPr>
            <w:r>
              <w:rPr>
                <w:rFonts w:ascii="Aptos" w:hAnsi="Aptos"/>
                <w:b w:val="0"/>
                <w:color w:val="000000"/>
                <w:sz w:val="21"/>
              </w:rPr>
              <w:t>$1,000</w:t>
            </w:r>
          </w:p>
        </w:tc>
      </w:tr>
    </w:tbl>
    <w:p>
      <w:pPr>
        <w:spacing w:after="0"/>
      </w:pPr>
    </w:p>
    <w:p>
      <w:pPr>
        <w:pStyle w:val="Heading2"/>
      </w:pPr>
      <w:r>
        <w:t>Expenses in Retirement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5184"/>
      </w:tblGrid>
      <w:tr>
        <w:trPr>
          <w:cantSplit/>
          <w:tblHeader/>
        </w:trPr>
        <w:tc>
          <w:tcPr>
            <w:tcW w:type="dxa" w:w="4752"/>
            <w:vAlign w:val="center"/>
            <w:tcMar>
              <w:top w:w="80" w:type="dxa"/>
              <w:bottom w:w="80" w:type="dxa"/>
              <w:left w:w="110" w:type="dxa"/>
              <w:right w:w="110" w:type="dxa"/>
            </w:tcMar>
            <w:shd w:fill="203B59"/>
          </w:tcPr>
          <w:p>
            <w:pPr>
              <w:spacing w:after="0" w:line="250" w:lineRule="auto"/>
              <w:jc w:val="left"/>
            </w:pPr>
            <w:r>
              <w:rPr>
                <w:rFonts w:ascii="Aptos" w:hAnsi="Aptos"/>
                <w:b/>
                <w:color w:val="FFFFFF"/>
                <w:sz w:val="21"/>
              </w:rPr>
              <w:t>Category</w:t>
            </w:r>
          </w:p>
        </w:tc>
        <w:tc>
          <w:tcPr>
            <w:tcW w:type="dxa" w:w="5184"/>
            <w:vAlign w:val="center"/>
            <w:tcMar>
              <w:top w:w="80" w:type="dxa"/>
              <w:bottom w:w="80" w:type="dxa"/>
              <w:left w:w="110" w:type="dxa"/>
              <w:right w:w="110" w:type="dxa"/>
            </w:tcMar>
            <w:shd w:fill="203B59"/>
          </w:tcPr>
          <w:p>
            <w:pPr>
              <w:spacing w:after="0" w:line="250" w:lineRule="auto"/>
              <w:jc w:val="center"/>
            </w:pPr>
            <w:r>
              <w:rPr>
                <w:rFonts w:ascii="Aptos" w:hAnsi="Aptos"/>
                <w:b/>
                <w:color w:val="FFFFFF"/>
                <w:sz w:val="21"/>
              </w:rPr>
              <w:t>Example monthly amount</w:t>
            </w:r>
          </w:p>
        </w:tc>
      </w:tr>
      <w:tr>
        <w:trPr>
          <w:cantSplit/>
        </w:trPr>
        <w:tc>
          <w:tcPr>
            <w:tcW w:type="dxa" w:w="4752"/>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Housing</w:t>
            </w:r>
          </w:p>
        </w:tc>
        <w:tc>
          <w:tcPr>
            <w:tcW w:type="dxa" w:w="5184"/>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$2,500</w:t>
            </w:r>
          </w:p>
        </w:tc>
      </w:tr>
      <w:tr>
        <w:trPr>
          <w:cantSplit/>
        </w:trPr>
        <w:tc>
          <w:tcPr>
            <w:tcW w:type="dxa" w:w="4752"/>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Food</w:t>
            </w:r>
          </w:p>
        </w:tc>
        <w:tc>
          <w:tcPr>
            <w:tcW w:type="dxa" w:w="5184"/>
            <w:vAlign w:val="center"/>
            <w:tcMar>
              <w:top w:w="80" w:type="dxa"/>
              <w:bottom w:w="80" w:type="dxa"/>
              <w:left w:w="110" w:type="dxa"/>
              <w:right w:w="110" w:type="dxa"/>
            </w:tcMar>
            <w:shd w:fill="F1F5F8"/>
          </w:tcPr>
          <w:p>
            <w:pPr>
              <w:spacing w:after="0" w:line="250" w:lineRule="auto"/>
              <w:jc w:val="center"/>
            </w:pPr>
            <w:r>
              <w:rPr>
                <w:rFonts w:ascii="Aptos" w:hAnsi="Aptos"/>
                <w:b w:val="0"/>
                <w:color w:val="000000"/>
                <w:sz w:val="21"/>
              </w:rPr>
              <w:t>$650</w:t>
            </w:r>
          </w:p>
        </w:tc>
      </w:tr>
      <w:tr>
        <w:trPr>
          <w:cantSplit/>
        </w:trPr>
        <w:tc>
          <w:tcPr>
            <w:tcW w:type="dxa" w:w="4752"/>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Health</w:t>
            </w:r>
          </w:p>
        </w:tc>
        <w:tc>
          <w:tcPr>
            <w:tcW w:type="dxa" w:w="5184"/>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$750</w:t>
            </w:r>
          </w:p>
        </w:tc>
      </w:tr>
      <w:tr>
        <w:trPr>
          <w:cantSplit/>
        </w:trPr>
        <w:tc>
          <w:tcPr>
            <w:tcW w:type="dxa" w:w="4752"/>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Travel</w:t>
            </w:r>
          </w:p>
        </w:tc>
        <w:tc>
          <w:tcPr>
            <w:tcW w:type="dxa" w:w="5184"/>
            <w:vAlign w:val="center"/>
            <w:tcMar>
              <w:top w:w="80" w:type="dxa"/>
              <w:bottom w:w="80" w:type="dxa"/>
              <w:left w:w="110" w:type="dxa"/>
              <w:right w:w="110" w:type="dxa"/>
            </w:tcMar>
            <w:shd w:fill="F1F5F8"/>
          </w:tcPr>
          <w:p>
            <w:pPr>
              <w:spacing w:after="0" w:line="250" w:lineRule="auto"/>
              <w:jc w:val="center"/>
            </w:pPr>
            <w:r>
              <w:rPr>
                <w:rFonts w:ascii="Aptos" w:hAnsi="Aptos"/>
                <w:b w:val="0"/>
                <w:color w:val="000000"/>
                <w:sz w:val="21"/>
              </w:rPr>
              <w:t>$500</w:t>
            </w:r>
          </w:p>
        </w:tc>
      </w:tr>
    </w:tbl>
    <w:p>
      <w:pPr>
        <w:spacing w:after="0"/>
      </w:pPr>
    </w:p>
    <w:p>
      <w:r>
        <w:t>The example monthly budget is $4,400. Its profile is Alex, current age 40, retirement age 65, Plan-to-Age 95, and North Carolina. Contributions total $37,000 per year; starting assets total $365,000.</w:t>
      </w:r>
    </w:p>
    <w:p>
      <w:r>
        <w:br w:type="page"/>
      </w:r>
    </w:p>
    <w:p>
      <w:pPr>
        <w:pStyle w:val="Heading1"/>
      </w:pPr>
      <w:r>
        <w:t>Calculation model</w:t>
      </w:r>
    </w:p>
    <w:p>
      <w:pPr>
        <w:pStyle w:val="Heading2"/>
      </w:pPr>
      <w:r>
        <w:t>Fixed annual growth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3456"/>
        <w:gridCol w:w="1584"/>
      </w:tblGrid>
      <w:tr>
        <w:trPr>
          <w:cantSplit/>
          <w:tblHeader/>
        </w:trPr>
        <w:tc>
          <w:tcPr>
            <w:tcW w:type="dxa" w:w="4896"/>
            <w:vAlign w:val="center"/>
            <w:tcMar>
              <w:top w:w="80" w:type="dxa"/>
              <w:bottom w:w="80" w:type="dxa"/>
              <w:left w:w="110" w:type="dxa"/>
              <w:right w:w="110" w:type="dxa"/>
            </w:tcMar>
            <w:shd w:fill="203B59"/>
          </w:tcPr>
          <w:p>
            <w:pPr>
              <w:spacing w:after="0" w:line="250" w:lineRule="auto"/>
              <w:jc w:val="left"/>
            </w:pPr>
            <w:r>
              <w:rPr>
                <w:rFonts w:ascii="Aptos" w:hAnsi="Aptos"/>
                <w:b/>
                <w:color w:val="FFFFFF"/>
                <w:sz w:val="21"/>
              </w:rPr>
              <w:t>Market scenario</w:t>
            </w:r>
          </w:p>
        </w:tc>
        <w:tc>
          <w:tcPr>
            <w:tcW w:type="dxa" w:w="3456"/>
            <w:vAlign w:val="center"/>
            <w:tcMar>
              <w:top w:w="80" w:type="dxa"/>
              <w:bottom w:w="80" w:type="dxa"/>
              <w:left w:w="110" w:type="dxa"/>
              <w:right w:w="110" w:type="dxa"/>
            </w:tcMar>
            <w:shd w:fill="203B59"/>
          </w:tcPr>
          <w:p>
            <w:pPr>
              <w:spacing w:after="0" w:line="250" w:lineRule="auto"/>
              <w:jc w:val="center"/>
            </w:pPr>
            <w:r>
              <w:rPr>
                <w:rFonts w:ascii="Aptos" w:hAnsi="Aptos"/>
                <w:b/>
                <w:color w:val="FFFFFF"/>
                <w:sz w:val="21"/>
              </w:rPr>
              <w:t>401 k IRA Brokerage</w:t>
            </w:r>
          </w:p>
        </w:tc>
        <w:tc>
          <w:tcPr>
            <w:tcW w:type="dxa" w:w="1584"/>
            <w:vAlign w:val="center"/>
            <w:tcMar>
              <w:top w:w="80" w:type="dxa"/>
              <w:bottom w:w="80" w:type="dxa"/>
              <w:left w:w="110" w:type="dxa"/>
              <w:right w:w="110" w:type="dxa"/>
            </w:tcMar>
            <w:shd w:fill="203B59"/>
          </w:tcPr>
          <w:p>
            <w:pPr>
              <w:spacing w:after="0" w:line="250" w:lineRule="auto"/>
              <w:jc w:val="center"/>
            </w:pPr>
            <w:r>
              <w:rPr>
                <w:rFonts w:ascii="Aptos" w:hAnsi="Aptos"/>
                <w:b/>
                <w:color w:val="FFFFFF"/>
                <w:sz w:val="21"/>
              </w:rPr>
              <w:t>HYSA</w:t>
            </w:r>
          </w:p>
        </w:tc>
      </w:tr>
      <w:tr>
        <w:trPr>
          <w:cantSplit/>
        </w:trPr>
        <w:tc>
          <w:tcPr>
            <w:tcW w:type="dxa" w:w="4896"/>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Average market</w:t>
            </w:r>
          </w:p>
        </w:tc>
        <w:tc>
          <w:tcPr>
            <w:tcW w:type="dxa" w:w="3456"/>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10%</w:t>
            </w:r>
          </w:p>
        </w:tc>
        <w:tc>
          <w:tcPr>
            <w:tcW w:type="dxa" w:w="1584"/>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3%</w:t>
            </w:r>
          </w:p>
        </w:tc>
      </w:tr>
      <w:tr>
        <w:trPr>
          <w:cantSplit/>
        </w:trPr>
        <w:tc>
          <w:tcPr>
            <w:tcW w:type="dxa" w:w="4896"/>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Below-average market</w:t>
            </w:r>
          </w:p>
        </w:tc>
        <w:tc>
          <w:tcPr>
            <w:tcW w:type="dxa" w:w="3456"/>
            <w:vAlign w:val="center"/>
            <w:tcMar>
              <w:top w:w="80" w:type="dxa"/>
              <w:bottom w:w="80" w:type="dxa"/>
              <w:left w:w="110" w:type="dxa"/>
              <w:right w:w="110" w:type="dxa"/>
            </w:tcMar>
            <w:shd w:fill="F1F5F8"/>
          </w:tcPr>
          <w:p>
            <w:pPr>
              <w:spacing w:after="0" w:line="250" w:lineRule="auto"/>
              <w:jc w:val="center"/>
            </w:pPr>
            <w:r>
              <w:rPr>
                <w:rFonts w:ascii="Aptos" w:hAnsi="Aptos"/>
                <w:b w:val="0"/>
                <w:color w:val="000000"/>
                <w:sz w:val="21"/>
              </w:rPr>
              <w:t>8%</w:t>
            </w:r>
          </w:p>
        </w:tc>
        <w:tc>
          <w:tcPr>
            <w:tcW w:type="dxa" w:w="1584"/>
            <w:vAlign w:val="center"/>
            <w:tcMar>
              <w:top w:w="80" w:type="dxa"/>
              <w:bottom w:w="80" w:type="dxa"/>
              <w:left w:w="110" w:type="dxa"/>
              <w:right w:w="110" w:type="dxa"/>
            </w:tcMar>
            <w:shd w:fill="F1F5F8"/>
          </w:tcPr>
          <w:p>
            <w:pPr>
              <w:spacing w:after="0" w:line="250" w:lineRule="auto"/>
              <w:jc w:val="center"/>
            </w:pPr>
            <w:r>
              <w:rPr>
                <w:rFonts w:ascii="Aptos" w:hAnsi="Aptos"/>
                <w:b w:val="0"/>
                <w:color w:val="000000"/>
                <w:sz w:val="21"/>
              </w:rPr>
              <w:t>3%</w:t>
            </w:r>
          </w:p>
        </w:tc>
      </w:tr>
      <w:tr>
        <w:trPr>
          <w:cantSplit/>
        </w:trPr>
        <w:tc>
          <w:tcPr>
            <w:tcW w:type="dxa" w:w="4896"/>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Significantly below-average market</w:t>
            </w:r>
          </w:p>
        </w:tc>
        <w:tc>
          <w:tcPr>
            <w:tcW w:type="dxa" w:w="3456"/>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6%</w:t>
            </w:r>
          </w:p>
        </w:tc>
        <w:tc>
          <w:tcPr>
            <w:tcW w:type="dxa" w:w="1584"/>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3%</w:t>
            </w:r>
          </w:p>
        </w:tc>
      </w:tr>
    </w:tbl>
    <w:p>
      <w:pPr>
        <w:spacing w:after="0"/>
      </w:pPr>
    </w:p>
    <w:p>
      <w:pPr>
        <w:pStyle w:val="Heading2"/>
      </w:pPr>
      <w:r>
        <w:t>Before retirement</w:t>
      </w:r>
    </w:p>
    <w:p>
      <w:r>
        <w:t>Each account compounds monthly using a rate equivalent to its annual rate. Yearly contributions are deposited at the end of each saving year, including the last year before retirement. This produces the following annual relationship.</w:t>
      </w:r>
    </w:p>
    <w:p>
      <w:pPr>
        <w:jc w:val="center"/>
      </w:pPr>
      <m:oMathPara>
        <m:oMath>
          <m:sSub>
            <m:e>
              <m:r>
                <m:t>B</m:t>
              </m:r>
            </m:e>
            <m:sub>
              <m:r>
                <m:t>y+1</m:t>
              </m:r>
            </m:sub>
          </m:sSub>
          <m:r>
            <m:t> = </m:t>
          </m:r>
          <m:sSub>
            <m:e>
              <m:r>
                <m:t>B</m:t>
              </m:r>
            </m:e>
            <m:sub>
              <m:r>
                <m:t>y</m:t>
              </m:r>
            </m:sub>
          </m:sSub>
          <m:r>
            <m:t>(1 + r) + C</m:t>
          </m:r>
        </m:oMath>
      </m:oMathPara>
    </w:p>
    <w:p>
      <w:r>
        <w:t>B is the account balance, r is the annual growth rate, and C is the yearly contribution. For example, $100,000 at 10% with a $10,000 year-end contribution becomes $120,000 after one saving year.</w:t>
      </w:r>
    </w:p>
    <w:p>
      <w:pPr>
        <w:jc w:val="center"/>
      </w:pPr>
      <m:oMathPara>
        <m:oMath>
          <m:sSub>
            <m:e>
              <m:r>
                <m:t>r</m:t>
              </m:r>
            </m:e>
            <m:sub>
              <m:r>
                <m:t>m</m:t>
              </m:r>
            </m:sub>
          </m:sSub>
          <m:r>
            <m:t> = </m:t>
          </m:r>
          <m:sSup>
            <m:e>
              <m:r>
                <m:t>(1 + r)</m:t>
              </m:r>
            </m:e>
            <m:sup>
              <m:f>
                <m:num>
                  <m:r>
                    <m:t>1</m:t>
                  </m:r>
                </m:num>
                <m:den>
                  <m:r>
                    <m:t>12</m:t>
                  </m:r>
                </m:den>
              </m:f>
            </m:sup>
          </m:sSup>
          <m:r>
            <m:t> - 1</m:t>
          </m:r>
        </m:oMath>
      </m:oMathPara>
    </w:p>
    <w:p>
      <w:r>
        <w:t>The equivalent monthly rate is about 0.7974% for 10% annually, 0.6434% for 8%, 0.4868% for 6%, and 0.2466% for HYSA at 3%. Monthly rates compound to the stated annual rates; they are not simply the annual rate divided by 12.</w:t>
      </w:r>
    </w:p>
    <w:p>
      <w:pPr>
        <w:pStyle w:val="Heading2"/>
      </w:pPr>
      <w:r>
        <w:t>During retirement</w:t>
      </w:r>
    </w:p>
    <w:p>
      <w:r>
        <w:t>Contributions stop. At the start of each month, the total expense budget is withdrawn proportionally from all accounts. Each remaining balance then earns its own monthly return. The amount paid is limited to the assets available; balances never become negative, and unpaid spending is recorded as unfunded expenses.</w:t>
      </w:r>
    </w:p>
    <w:p>
      <w:r>
        <w:t>For an account holding one quarter of total assets, one quarter of the funded withdrawal comes from that account. Closing total assets equal opening assets, plus growth and contributions, less expenses paid. Growth is calculated after the withdrawal.</w:t>
      </w:r>
    </w:p>
    <w:p>
      <w:pPr>
        <w:pStyle w:val="Heading2"/>
      </w:pPr>
      <w:r>
        <w:t>Time boundaries</w:t>
      </w:r>
    </w:p>
    <w:p>
      <w:r>
        <w:t>Ages are whole-year boundaries, with 12 projection months per year. Retiring at 65 and planning to 95 gives 360 retirement months. The annual table includes the starting snapshot and the final snapshot at Plan-to-Age. Its retirement-age row is before the first withdrawal.</w:t>
      </w:r>
    </w:p>
    <w:p>
      <w:r>
        <w:t>Projection years begin in the current America/New_York year when a plan is saved. Months follow the age-based planning period and do not represent exact birthdays or calendar-month transaction dates.</w:t>
      </w:r>
    </w:p>
    <w:p>
      <w:r>
        <w:br w:type="page"/>
      </w:r>
    </w:p>
    <w:p>
      <w:pPr>
        <w:pStyle w:val="Heading1"/>
      </w:pPr>
      <w:r>
        <w:t>Understanding the analysis</w:t>
      </w:r>
    </w:p>
    <w:p>
      <w:pPr>
        <w:pStyle w:val="Heading2"/>
      </w:pPr>
      <w:r>
        <w:t>How are you doing</w:t>
      </w:r>
    </w:p>
    <w:p>
      <w:r>
        <w:t>The status bar is a read-only indicator whose marker moves automatically when a plan is saved. A scenario is fully funded when it can pay every monthly retirement budget through the planning horizon. A monthly shortfall greater than $0.005 causes the scenario to fail.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304"/>
        <w:gridCol w:w="6192"/>
      </w:tblGrid>
      <w:tr>
        <w:trPr>
          <w:cantSplit/>
          <w:tblHeader/>
        </w:trPr>
        <w:tc>
          <w:tcPr>
            <w:tcW w:type="dxa" w:w="1440"/>
            <w:vAlign w:val="center"/>
            <w:tcMar>
              <w:top w:w="80" w:type="dxa"/>
              <w:bottom w:w="80" w:type="dxa"/>
              <w:left w:w="110" w:type="dxa"/>
              <w:right w:w="110" w:type="dxa"/>
            </w:tcMar>
            <w:shd w:fill="203B59"/>
          </w:tcPr>
          <w:p>
            <w:pPr>
              <w:spacing w:after="0" w:line="250" w:lineRule="auto"/>
              <w:jc w:val="center"/>
            </w:pPr>
            <w:r>
              <w:rPr>
                <w:rFonts w:ascii="Aptos" w:hAnsi="Aptos"/>
                <w:b/>
                <w:color w:val="FFFFFF"/>
                <w:sz w:val="21"/>
              </w:rPr>
              <w:t>Status</w:t>
            </w:r>
          </w:p>
        </w:tc>
        <w:tc>
          <w:tcPr>
            <w:tcW w:type="dxa" w:w="2304"/>
            <w:vAlign w:val="center"/>
            <w:tcMar>
              <w:top w:w="80" w:type="dxa"/>
              <w:bottom w:w="80" w:type="dxa"/>
              <w:left w:w="110" w:type="dxa"/>
              <w:right w:w="110" w:type="dxa"/>
            </w:tcMar>
            <w:shd w:fill="203B59"/>
          </w:tcPr>
          <w:p>
            <w:pPr>
              <w:spacing w:after="0" w:line="250" w:lineRule="auto"/>
              <w:jc w:val="center"/>
            </w:pPr>
            <w:r>
              <w:rPr>
                <w:rFonts w:ascii="Aptos" w:hAnsi="Aptos"/>
                <w:b/>
                <w:color w:val="FFFFFF"/>
                <w:sz w:val="21"/>
              </w:rPr>
              <w:t>Funded scenarios</w:t>
            </w:r>
          </w:p>
        </w:tc>
        <w:tc>
          <w:tcPr>
            <w:tcW w:type="dxa" w:w="6192"/>
            <w:vAlign w:val="center"/>
            <w:tcMar>
              <w:top w:w="80" w:type="dxa"/>
              <w:bottom w:w="80" w:type="dxa"/>
              <w:left w:w="110" w:type="dxa"/>
              <w:right w:w="110" w:type="dxa"/>
            </w:tcMar>
            <w:shd w:fill="203B59"/>
          </w:tcPr>
          <w:p>
            <w:pPr>
              <w:spacing w:after="0" w:line="250" w:lineRule="auto"/>
              <w:jc w:val="left"/>
            </w:pPr>
            <w:r>
              <w:rPr>
                <w:rFonts w:ascii="Aptos" w:hAnsi="Aptos"/>
                <w:b/>
                <w:color w:val="FFFFFF"/>
                <w:sz w:val="21"/>
              </w:rPr>
              <w:t>Interpretation</w:t>
            </w:r>
          </w:p>
        </w:tc>
      </w:tr>
      <w:tr>
        <w:trPr>
          <w:cantSplit/>
        </w:trPr>
        <w:tc>
          <w:tcPr>
            <w:tcW w:type="dxa" w:w="1440"/>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Red</w:t>
            </w:r>
          </w:p>
        </w:tc>
        <w:tc>
          <w:tcPr>
            <w:tcW w:type="dxa" w:w="2304"/>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0 or 1 of 3</w:t>
            </w:r>
          </w:p>
        </w:tc>
        <w:tc>
          <w:tcPr>
            <w:tcW w:type="dxa" w:w="6192"/>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At least two modeled scenarios cannot fund every retirement month.</w:t>
            </w:r>
          </w:p>
        </w:tc>
      </w:tr>
      <w:tr>
        <w:trPr>
          <w:cantSplit/>
        </w:trPr>
        <w:tc>
          <w:tcPr>
            <w:tcW w:type="dxa" w:w="1440"/>
            <w:vAlign w:val="center"/>
            <w:tcMar>
              <w:top w:w="80" w:type="dxa"/>
              <w:bottom w:w="80" w:type="dxa"/>
              <w:left w:w="110" w:type="dxa"/>
              <w:right w:w="110" w:type="dxa"/>
            </w:tcMar>
            <w:shd w:fill="F1F5F8"/>
          </w:tcPr>
          <w:p>
            <w:pPr>
              <w:spacing w:after="0" w:line="250" w:lineRule="auto"/>
              <w:jc w:val="center"/>
            </w:pPr>
            <w:r>
              <w:rPr>
                <w:rFonts w:ascii="Aptos" w:hAnsi="Aptos"/>
                <w:b w:val="0"/>
                <w:color w:val="000000"/>
                <w:sz w:val="21"/>
              </w:rPr>
              <w:t>Amber</w:t>
            </w:r>
          </w:p>
        </w:tc>
        <w:tc>
          <w:tcPr>
            <w:tcW w:type="dxa" w:w="2304"/>
            <w:vAlign w:val="center"/>
            <w:tcMar>
              <w:top w:w="80" w:type="dxa"/>
              <w:bottom w:w="80" w:type="dxa"/>
              <w:left w:w="110" w:type="dxa"/>
              <w:right w:w="110" w:type="dxa"/>
            </w:tcMar>
            <w:shd w:fill="F1F5F8"/>
          </w:tcPr>
          <w:p>
            <w:pPr>
              <w:spacing w:after="0" w:line="250" w:lineRule="auto"/>
              <w:jc w:val="center"/>
            </w:pPr>
            <w:r>
              <w:rPr>
                <w:rFonts w:ascii="Aptos" w:hAnsi="Aptos"/>
                <w:b w:val="0"/>
                <w:color w:val="000000"/>
                <w:sz w:val="21"/>
              </w:rPr>
              <w:t>2 of 3</w:t>
            </w:r>
          </w:p>
        </w:tc>
        <w:tc>
          <w:tcPr>
            <w:tcW w:type="dxa" w:w="6192"/>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Two scenarios fund the full plan; one does not.</w:t>
            </w:r>
          </w:p>
        </w:tc>
      </w:tr>
      <w:tr>
        <w:trPr>
          <w:cantSplit/>
        </w:trPr>
        <w:tc>
          <w:tcPr>
            <w:tcW w:type="dxa" w:w="1440"/>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Green</w:t>
            </w:r>
          </w:p>
        </w:tc>
        <w:tc>
          <w:tcPr>
            <w:tcW w:type="dxa" w:w="2304"/>
            <w:vAlign w:val="center"/>
            <w:tcMar>
              <w:top w:w="80" w:type="dxa"/>
              <w:bottom w:w="80" w:type="dxa"/>
              <w:left w:w="110" w:type="dxa"/>
              <w:right w:w="110" w:type="dxa"/>
            </w:tcMar>
            <w:shd w:fill="FFFFFF"/>
          </w:tcPr>
          <w:p>
            <w:pPr>
              <w:spacing w:after="0" w:line="250" w:lineRule="auto"/>
              <w:jc w:val="center"/>
            </w:pPr>
            <w:r>
              <w:rPr>
                <w:rFonts w:ascii="Aptos" w:hAnsi="Aptos"/>
                <w:b w:val="0"/>
                <w:color w:val="000000"/>
                <w:sz w:val="21"/>
              </w:rPr>
              <w:t>3 of 3</w:t>
            </w:r>
          </w:p>
        </w:tc>
        <w:tc>
          <w:tcPr>
            <w:tcW w:type="dxa" w:w="6192"/>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Every modeled scenario funds the full plan.</w:t>
            </w:r>
          </w:p>
        </w:tc>
      </w:tr>
    </w:tbl>
    <w:p>
      <w:pPr>
        <w:spacing w:after="0"/>
      </w:pPr>
    </w:p>
    <w:p>
      <w:r>
        <w:t>Scenario coverage is the fraction of these three fixed scenarios that are funded. The scenarios have no assigned likelihood. The status bar therefore does not represent a statistical probability of retirement success.</w:t>
      </w:r>
    </w:p>
    <w:p>
      <w:pPr>
        <w:pStyle w:val="Heading2"/>
      </w:pPr>
      <w:r>
        <w:t>Monthly spending capacity</w:t>
      </w:r>
    </w:p>
    <w:p>
      <w:r>
        <w:t>The app uses below-average retirement balances to estimate the largest constant monthly withdrawal funded over the entire retirement horizon. It repeatedly tests candidate budgets with the same proportional withdrawal policy. The result includes drawing down principal and is not interest-only income.</w:t>
      </w:r>
    </w:p>
    <w:p>
      <w:r>
        <w:t>The summary compares this capacity with the entered monthly budget and reports the difference. A warning identifies the age and projection year of the first below-average shortfall when one occurs.</w:t>
      </w:r>
    </w:p>
    <w:p>
      <w:pPr>
        <w:pStyle w:val="Heading2"/>
      </w:pPr>
      <w:r>
        <w:t>Asset projection</w:t>
      </w:r>
    </w:p>
    <w:p>
      <w:r>
        <w:t>The chart displays total assets for all three market scenarios with a retirement-year marker. The colored areas overlap and must not be added together. The table shows Year, Age, and each scenario total. Assets at end of plan are displayed separately for each scenario.</w:t>
      </w:r>
    </w:p>
    <w:p>
      <w:pPr>
        <w:pStyle w:val="Heading2"/>
      </w:pPr>
      <w:r>
        <w:t>Monthly retirement cash flow</w:t>
      </w:r>
    </w:p>
    <w:p>
      <w:r>
        <w:t>The monthly chart compares investment growth across the scenarios with the expense budget, shown as a dashed red line. Growth below the budget can still fund retirement by spending principal. Review the monthly table to see the effect on balances.</w:t>
      </w:r>
    </w:p>
    <w:p>
      <w:r>
        <w:t>Monthly table columns are Projection month, Year, Age, Scenario, Opening assets, Growth, Expenses paid, Unfunded expenses, and Closing assets. Only retirement months appear in this table. The account details expander adds annual account balances and cumulative unfunded spending by scenario.</w:t>
      </w:r>
    </w:p>
    <w:p>
      <w:pPr>
        <w:pStyle w:val="Heading2"/>
      </w:pPr>
      <w:r>
        <w:t>Download results</w:t>
      </w:r>
    </w:p>
    <w:p>
      <w:r>
        <w:t>Download yearly projection creates retirement_yearly.csv. Download monthly cash flow creates retirement_monthly.csv and includes additional month, phase, contribution, and account balance fields. CSVs contain results rather than a complete reloadable profile; there is no import feature.</w:t>
      </w:r>
    </w:p>
    <w:p>
      <w:r>
        <w:br w:type="page"/>
      </w:r>
    </w:p>
    <w:p>
      <w:pPr>
        <w:pStyle w:val="Heading1"/>
      </w:pPr>
      <w:r>
        <w:t>Architecture and verification</w:t>
      </w:r>
    </w:p>
    <w:p>
      <w:r>
        <w:t>The application separates the interface from the financial engine. Streamlit collects a form submission, validates it, saves a Plan snapshot, runs all three projections, computes monthly capacity, and switches to Analysis. Charts and tables read those saved results; changing an input does not update analysis until the next valid save.</w:t>
      </w:r>
    </w:p>
    <w:p>
      <w:pPr>
        <w:pStyle w:val="Heading2"/>
      </w:pPr>
      <w:r>
        <w:t>Source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80" w:type="dxa"/>
              <w:bottom w:w="80" w:type="dxa"/>
              <w:left w:w="110" w:type="dxa"/>
              <w:right w:w="110" w:type="dxa"/>
            </w:tcMar>
            <w:shd w:fill="203B59"/>
          </w:tcPr>
          <w:p>
            <w:pPr>
              <w:spacing w:after="0" w:line="250" w:lineRule="auto"/>
              <w:jc w:val="left"/>
            </w:pPr>
            <w:r>
              <w:rPr>
                <w:rFonts w:ascii="Aptos" w:hAnsi="Aptos"/>
                <w:b/>
                <w:color w:val="FFFFFF"/>
                <w:sz w:val="21"/>
              </w:rPr>
              <w:t>File</w:t>
            </w:r>
          </w:p>
        </w:tc>
        <w:tc>
          <w:tcPr>
            <w:tcW w:type="dxa" w:w="6696"/>
            <w:vAlign w:val="center"/>
            <w:tcMar>
              <w:top w:w="80" w:type="dxa"/>
              <w:bottom w:w="80" w:type="dxa"/>
              <w:left w:w="110" w:type="dxa"/>
              <w:right w:w="110" w:type="dxa"/>
            </w:tcMar>
            <w:shd w:fill="203B59"/>
          </w:tcPr>
          <w:p>
            <w:pPr>
              <w:spacing w:after="0" w:line="250" w:lineRule="auto"/>
              <w:jc w:val="left"/>
            </w:pPr>
            <w:r>
              <w:rPr>
                <w:rFonts w:ascii="Aptos" w:hAnsi="Aptos"/>
                <w:b/>
                <w:color w:val="FFFFFF"/>
                <w:sz w:val="21"/>
              </w:rPr>
              <w:t>Responsibility</w:t>
            </w:r>
          </w:p>
        </w:tc>
      </w:tr>
      <w:tr>
        <w:trPr>
          <w:cantSplit/>
        </w:trPr>
        <w:tc>
          <w:tcPr>
            <w:tcW w:type="dxa" w:w="3240"/>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app.py</w:t>
            </w:r>
          </w:p>
        </w:tc>
        <w:tc>
          <w:tcPr>
            <w:tcW w:type="dxa" w:w="6696"/>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Form widgets, tabs, callbacks, session state, status bar, charts, tables, exports, and guide.</w:t>
            </w:r>
          </w:p>
        </w:tc>
      </w:tr>
      <w:tr>
        <w:trPr>
          <w:cantSplit/>
        </w:trPr>
        <w:tc>
          <w:tcPr>
            <w:tcW w:type="dxa" w:w="3240"/>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retirement_model.py</w:t>
            </w:r>
          </w:p>
        </w:tc>
        <w:tc>
          <w:tcPr>
            <w:tcW w:type="dxa" w:w="6696"/>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Plan data structure, 50 states, rates, input validation, monthly account growth and withdrawals, scenario projections, and spending capacity.</w:t>
            </w:r>
          </w:p>
        </w:tc>
      </w:tr>
      <w:tr>
        <w:trPr>
          <w:cantSplit/>
        </w:trPr>
        <w:tc>
          <w:tcPr>
            <w:tcW w:type="dxa" w:w="3240"/>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requirements.txt</w:t>
            </w:r>
          </w:p>
        </w:tc>
        <w:tc>
          <w:tcPr>
            <w:tcW w:type="dxa" w:w="6696"/>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Streamlit 1.55.0, pandas 2.2 to below 3, Altair 5.5 to below 6, and tzdata 2025.2 or later.</w:t>
            </w:r>
          </w:p>
        </w:tc>
      </w:tr>
      <w:tr>
        <w:trPr>
          <w:cantSplit/>
        </w:trPr>
        <w:tc>
          <w:tcPr>
            <w:tcW w:type="dxa" w:w="3240"/>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.streamlit/config.toml</w:t>
            </w:r>
          </w:p>
        </w:tc>
        <w:tc>
          <w:tcPr>
            <w:tcW w:type="dxa" w:w="6696"/>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Light theme, headless server, and disabled usage statistics.</w:t>
            </w:r>
          </w:p>
        </w:tc>
      </w:tr>
      <w:tr>
        <w:trPr>
          <w:cantSplit/>
        </w:trPr>
        <w:tc>
          <w:tcPr>
            <w:tcW w:type="dxa" w:w="3240"/>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tests/test_retirement_model.py</w:t>
            </w:r>
          </w:p>
        </w:tc>
        <w:tc>
          <w:tcPr>
            <w:tcW w:type="dxa" w:w="6696"/>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13 numerical and model validation tests.</w:t>
            </w:r>
          </w:p>
        </w:tc>
      </w:tr>
      <w:tr>
        <w:trPr>
          <w:cantSplit/>
        </w:trPr>
        <w:tc>
          <w:tcPr>
            <w:tcW w:type="dxa" w:w="3240"/>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tests/test_app.py</w:t>
            </w:r>
          </w:p>
        </w:tc>
        <w:tc>
          <w:tcPr>
            <w:tcW w:type="dxa" w:w="6696"/>
            <w:vAlign w:val="center"/>
            <w:tcMar>
              <w:top w:w="80" w:type="dxa"/>
              <w:bottom w:w="80" w:type="dxa"/>
              <w:left w:w="110" w:type="dxa"/>
              <w:right w:w="110" w:type="dxa"/>
            </w:tcMar>
            <w:shd w:fill="F1F5F8"/>
          </w:tcPr>
          <w:p>
            <w:pPr>
              <w:spacing w:after="0" w:line="250" w:lineRule="auto"/>
              <w:jc w:val="left"/>
            </w:pPr>
            <w:r>
              <w:rPr>
                <w:rFonts w:ascii="Aptos" w:hAnsi="Aptos"/>
                <w:b w:val="0"/>
                <w:color w:val="000000"/>
                <w:sz w:val="21"/>
              </w:rPr>
              <w:t>5 Streamlit AppTest checks for save, edits, validation, table values, and reset.</w:t>
            </w:r>
          </w:p>
        </w:tc>
      </w:tr>
      <w:tr>
        <w:trPr>
          <w:cantSplit/>
        </w:trPr>
        <w:tc>
          <w:tcPr>
            <w:tcW w:type="dxa" w:w="3240"/>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README.md and .gitignore</w:t>
            </w:r>
          </w:p>
        </w:tc>
        <w:tc>
          <w:tcPr>
            <w:tcW w:type="dxa" w:w="6696"/>
            <w:vAlign w:val="center"/>
            <w:tcMar>
              <w:top w:w="80" w:type="dxa"/>
              <w:bottom w:w="80" w:type="dxa"/>
              <w:left w:w="110" w:type="dxa"/>
              <w:right w:w="110" w:type="dxa"/>
            </w:tcMar>
            <w:shd w:fill="FFFFFF"/>
          </w:tcPr>
          <w:p>
            <w:pPr>
              <w:spacing w:after="0" w:line="250" w:lineRule="auto"/>
              <w:jc w:val="left"/>
            </w:pPr>
            <w:r>
              <w:rPr>
                <w:rFonts w:ascii="Aptos" w:hAnsi="Aptos"/>
                <w:b w:val="0"/>
                <w:color w:val="000000"/>
                <w:sz w:val="21"/>
              </w:rPr>
              <w:t>Setup instructions and exclusions for local runtimes, caches, and generated Python files.</w:t>
            </w:r>
          </w:p>
        </w:tc>
      </w:tr>
    </w:tbl>
    <w:p>
      <w:pPr>
        <w:spacing w:after="0"/>
      </w:pPr>
    </w:p>
    <w:p>
      <w:pPr>
        <w:pStyle w:val="Heading2"/>
      </w:pPr>
      <w:r>
        <w:t>Core model functions</w:t>
      </w:r>
    </w:p>
    <w:p>
      <w:r>
        <w:t>validate_plan checks required fields, ages, state, account and expense keys, and finite nonnegative amounts. project_scenario produces annual and monthly rows, retirement balances, funding status, the first shortfall, and cumulative unmet spending. project_plan runs this for every scenario. sustainable_monthly_income uses 55 bisection iterations to find monthly capacity.</w:t>
      </w:r>
    </w:p>
    <w:p>
      <w:pPr>
        <w:pStyle w:val="Heading2"/>
      </w:pPr>
      <w:r>
        <w:t>Memory and reset behavior</w:t>
      </w:r>
    </w:p>
    <w:p>
      <w:r>
        <w:t>Inputs and results are kept in Streamlit Session State, with no database or financial account connection. The frozen Plan dataclass holds the saved snapshot. Clear resets profile fields, numeric tables, and saved projections. Editor keys are refreshed so old table edits do not reappear. An invalid save reports errors and preserves the last valid analysis.</w:t>
      </w:r>
    </w:p>
    <w:p>
      <w:pPr>
        <w:pStyle w:val="Heading2"/>
      </w:pPr>
      <w:r>
        <w:t>Verification performed</w:t>
      </w:r>
    </w:p>
    <w:p>
      <w:r>
        <w:t>All 18 unit and Streamlit tests passed on October 11 2026. Coverage includes annual compounding, contribution timing, cash flow conservation, immediate retirement, partial and complete depletion, zero budgets, HYSA consistency, scenario ordering, age validation, and monthly capacity checked against an independent annuity formula. A separate scripted check verified Red for 0 and 1 funded scenarios, Amber for 2, and Green for 3.</w:t>
      </w:r>
    </w:p>
    <w:p>
      <w:r>
        <w:t>The local server health endpoint returned HTTP 200. Automated browser visual inspection was unavailable during app verification. Numerical and interaction checks do not establish that market assumptions are forecasts.</w:t>
      </w:r>
    </w:p>
    <w:p>
      <w:r>
        <w:br w:type="page"/>
      </w:r>
    </w:p>
    <w:p>
      <w:pPr>
        <w:pStyle w:val="Heading1"/>
      </w:pPr>
      <w:r>
        <w:t>Running and deploying the app</w:t>
      </w:r>
    </w:p>
    <w:p>
      <w:pPr>
        <w:pStyle w:val="Heading2"/>
      </w:pPr>
      <w:r>
        <w:t>Run locally on Windows</w:t>
      </w:r>
    </w:p>
    <w:p>
      <w:r>
        <w:t>Use Python 3.11 or later; the app was tested with Python 3.12. Open PowerShell in the project folder. If your Python command is python rather than py, substitute it in the first command.</w:t>
      </w:r>
    </w:p>
    <w:p>
      <w:pPr>
        <w:spacing w:after="160"/>
      </w:pPr>
      <w:r>
        <w:rPr>
          <w:rFonts w:ascii="Consolas" w:hAnsi="Consolas"/>
          <w:sz w:val="19"/>
        </w:rPr>
        <w:t>py -m venv .venv</w:t>
      </w:r>
      <w:r>
        <w:rPr>
          <w:rFonts w:ascii="Consolas" w:hAnsi="Consolas"/>
          <w:sz w:val="19"/>
        </w:rPr>
        <w:br/>
        <w:t>.\.venv\Scripts\python.exe -m pip install -r requirements.txt</w:t>
      </w:r>
      <w:r>
        <w:rPr>
          <w:rFonts w:ascii="Consolas" w:hAnsi="Consolas"/>
          <w:sz w:val="19"/>
        </w:rPr>
        <w:br/>
        <w:t>.\.venv\Scripts\python.exe -m streamlit run app.py</w:t>
      </w:r>
    </w:p>
    <w:p>
      <w:r>
        <w:t>Open the URL printed by Streamlit, normally http://localhost:8501. Localhost runs on the computer hosting the process. Run the checks with the following command.</w:t>
      </w:r>
    </w:p>
    <w:p>
      <w:pPr>
        <w:spacing w:after="160"/>
      </w:pPr>
      <w:r>
        <w:rPr>
          <w:rFonts w:ascii="Consolas" w:hAnsi="Consolas"/>
          <w:sz w:val="19"/>
        </w:rPr>
        <w:t>.\.venv\Scripts\python.exe -m unittest discover -s tests -v</w:t>
      </w:r>
    </w:p>
    <w:p>
      <w:pPr>
        <w:pStyle w:val="Heading2"/>
      </w:pPr>
      <w:r>
        <w:t>Deploy to Streamlit Community Cloud</w:t>
      </w:r>
    </w:p>
    <w:p>
      <w:r>
        <w:t>The documented code was pushed to GitHub main as commit 4923d99. A GitHub push alone does not create a cloud deployment. Use the Streamlit workspace to configure hosting.</w:t>
      </w:r>
    </w:p>
    <w:p>
      <w:pPr>
        <w:pStyle w:val="ListNumber"/>
      </w:pPr>
      <w:r>
        <w:t>Sign in to share.streamlit.io and select Create app.</w:t>
      </w:r>
    </w:p>
    <w:p>
      <w:pPr>
        <w:pStyle w:val="ListNumber"/>
      </w:pPr>
      <w:r>
        <w:t>Choose repository rpsaladi/Week-1-AI-Project, branch main, and main file app.py.</w:t>
      </w:r>
    </w:p>
    <w:p>
      <w:pPr>
        <w:pStyle w:val="ListNumber"/>
      </w:pPr>
      <w:r>
        <w:t>Choose a supported Python version, preferably the tested Python 3.12, then deploy. The requirements file supplies the application dependencies; no API keys are needed.</w:t>
      </w:r>
    </w:p>
    <w:p>
      <w:pPr>
        <w:pStyle w:val="ListNumber"/>
      </w:pPr>
      <w:r>
        <w:t>Open the generated streamlit.app URL. Save the example plan and confirm that Analysis, the status bar, charts, and tables load. Use cloud logs to investigate build or runtime failures.</w:t>
      </w:r>
    </w:p>
    <w:p>
      <w:pPr>
        <w:pStyle w:val="Heading2"/>
      </w:pPr>
      <w:r>
        <w:t>Model limits and maintenance</w:t>
      </w:r>
    </w:p>
    <w:p>
      <w:r>
        <w:t>Dollar amounts are nominal and expenses stay constant. The model omits inflation, taxes, fees, Social Security, pensions, variable returns, legal contribution limits, account withdrawal restrictions, and required minimum distributions. Retirement state does not change results. Update assumptions in retirement_model.py and keep the guide, README, and tests consistent when changing the model.</w:t>
      </w:r>
    </w:p>
    <w:p>
      <w:pPr>
        <w:pStyle w:val="Heading2"/>
      </w:pPr>
      <w:r>
        <w:t>References</w:t>
      </w:r>
    </w:p>
    <w:p>
      <w:r>
        <w:t>Application behavior is documented from app.py, retirement_model.py, README.md, requirements.txt, and tests at the commit below. Streamlit references describe the hosting workflow.</w:t>
      </w:r>
    </w:p>
    <w:p>
      <w:hyperlink r:id="rId11">
        <w:r>
          <w:rPr>
            <w:color w:val="174A7A"/>
          </w:rPr>
          <w:t>Documented GitHub commit 4923d99</w:t>
        </w:r>
      </w:hyperlink>
    </w:p>
    <w:p>
      <w:hyperlink r:id="rId12">
        <w:r>
          <w:rPr>
            <w:color w:val="174A7A"/>
          </w:rPr>
          <w:t>Streamlit Community Cloud deployment guide</w:t>
        </w:r>
      </w:hyperlink>
    </w:p>
    <w:p>
      <w:hyperlink r:id="rId13">
        <w:r>
          <w:rPr>
            <w:color w:val="174A7A"/>
          </w:rPr>
          <w:t>Streamlit Community Cloud app management</w:t>
        </w:r>
      </w:hyperlink>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Retirement app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psaladi/Week-1-AI-Project" TargetMode="External"/><Relationship Id="rId11" Type="http://schemas.openxmlformats.org/officeDocument/2006/relationships/hyperlink" Target="https://github.com/rpsaladi/Week-1-AI-Project/commit/4923d993a408e04b72a5d2f36f4a14ba740a3bbe" TargetMode="External"/><Relationship Id="rId12" Type="http://schemas.openxmlformats.org/officeDocument/2006/relationships/hyperlink" Target="https://docs.streamlit.io/deploy/streamlit-community-cloud/deploy-your-app/deploy" TargetMode="External"/><Relationship Id="rId13" Type="http://schemas.openxmlformats.org/officeDocument/2006/relationships/hyperlink" Target="https://docs.streamlit.io/deploy/streamlit-community-cloud/manage-your-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Retirement App Documentation</dc:title>
  <dc:subject>User guide and technical documentation for the Retirement Streamlit application</dc:subject>
  <dc:creator/>
  <cp:keywords>Retirement, Streamlit, user guide, architecture, calculations</cp:keywords>
  <dc:description>generated by python-docx</dc:description>
  <cp:lastModifiedBy/>
  <cp:revision>1</cp:revision>
  <dcterms:created xsi:type="dcterms:W3CDTF">2013-12-23T23:15:00Z</dcterms:created>
  <dcterms:modified xsi:type="dcterms:W3CDTF">2013-12-23T23:15:00Z</dcterms:modified>
  <cp:category/>
</cp:coreProperties>
</file>