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B192D"/>
          <w:sz w:val="40"/>
        </w:rPr>
        <w:t>SDG - Business Insights - Fuerza Comercial en Pharma</w:t>
      </w:r>
    </w:p>
    <w:p>
      <w:r>
        <w:t xml:space="preserve">Este documento tiene tres partes. La </w:t>
      </w:r>
      <w:r>
        <w:rPr>
          <w:b/>
        </w:rPr>
        <w:t>primera</w:t>
      </w:r>
      <w:r>
        <w:t xml:space="preserve"> es un briefing del sector: no se presupone experiencia previa en farma y ahí está todo lo necesario para abordar el caso. La </w:t>
      </w:r>
      <w:r>
        <w:rPr>
          <w:b/>
        </w:rPr>
        <w:t>segunda</w:t>
      </w:r>
      <w:r>
        <w:t xml:space="preserve"> es el encargo. La </w:t>
      </w:r>
      <w:r>
        <w:rPr>
          <w:b/>
        </w:rPr>
        <w:t>tercera</w:t>
      </w:r>
      <w:r>
        <w:t xml:space="preserve"> describe los ficheros de datos campo a campo.</w:t>
      </w:r>
    </w:p>
    <w:p>
      <w:pPr>
        <w:spacing w:after="40"/>
        <w:pBdr>
          <w:bottom w:val="single" w:sz="6" w:space="1" w:color="D5DAE6"/>
        </w:pBdr>
      </w:pPr>
    </w:p>
    <w:p>
      <w:pPr>
        <w:pStyle w:val="Heading1"/>
      </w:pPr>
      <w:r>
        <w:rPr>
          <w:b/>
          <w:color w:val="1B192D"/>
          <w:sz w:val="40"/>
        </w:rPr>
        <w:t>Parte 1. Briefing de contexto</w:t>
      </w:r>
    </w:p>
    <w:p>
      <w:r>
        <w:rPr>
          <w:i/>
        </w:rPr>
        <w:t>Documento de nivelación. Si vienes del sector, puedes saltar directamente a la Parte 2.</w:t>
      </w:r>
    </w:p>
    <w:p>
      <w:pPr>
        <w:pStyle w:val="Heading2"/>
      </w:pPr>
      <w:r>
        <w:rPr>
          <w:b/>
          <w:color w:val="1B192D"/>
          <w:sz w:val="28"/>
        </w:rPr>
        <w:t>1. La particularidad del sector: quien decide no compra, y quien compra no paga</w:t>
      </w:r>
    </w:p>
    <w:p>
      <w:r>
        <w:t>En la mayoría de sectores de consumo, la persona que elige el producto es la que lo paga. En farma con receta, esos tres roles están separados:</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0F5"/>
          </w:tcPr>
          <w:p>
            <w:pPr>
              <w:spacing w:after="60"/>
            </w:pPr>
            <w:r>
              <w:rPr>
                <w:b/>
              </w:rPr>
            </w:r>
            <w:r>
              <w:rPr>
                <w:b/>
                <w:sz w:val="19"/>
              </w:rPr>
              <w:t>Rol</w:t>
            </w:r>
          </w:p>
        </w:tc>
        <w:tc>
          <w:tcPr>
            <w:tcW w:type="dxa" w:w="3173"/>
            <w:shd w:val="clear" w:color="auto" w:fill="EEF0F5"/>
          </w:tcPr>
          <w:p>
            <w:pPr>
              <w:spacing w:after="60"/>
            </w:pPr>
            <w:r>
              <w:rPr>
                <w:b/>
              </w:rPr>
            </w:r>
            <w:r>
              <w:rPr>
                <w:b/>
                <w:sz w:val="19"/>
              </w:rPr>
              <w:t>Quién</w:t>
            </w:r>
          </w:p>
        </w:tc>
        <w:tc>
          <w:tcPr>
            <w:tcW w:type="dxa" w:w="3173"/>
            <w:shd w:val="clear" w:color="auto" w:fill="EEF0F5"/>
          </w:tcPr>
          <w:p>
            <w:pPr>
              <w:spacing w:after="60"/>
            </w:pPr>
            <w:r>
              <w:rPr>
                <w:b/>
              </w:rPr>
            </w:r>
            <w:r>
              <w:rPr>
                <w:b/>
                <w:sz w:val="19"/>
              </w:rPr>
              <w:t>Qué hace</w:t>
            </w:r>
          </w:p>
        </w:tc>
      </w:tr>
      <w:tr>
        <w:tc>
          <w:tcPr>
            <w:tcW w:type="dxa" w:w="3173"/>
          </w:tcPr>
          <w:p>
            <w:pPr>
              <w:spacing w:after="60"/>
            </w:pPr>
            <w:r/>
            <w:r>
              <w:rPr>
                <w:b/>
                <w:sz w:val="19"/>
              </w:rPr>
              <w:t>Prescriptor</w:t>
            </w:r>
          </w:p>
        </w:tc>
        <w:tc>
          <w:tcPr>
            <w:tcW w:type="dxa" w:w="3173"/>
          </w:tcPr>
          <w:p>
            <w:pPr>
              <w:spacing w:after="60"/>
            </w:pPr>
            <w:r/>
            <w:r>
              <w:rPr>
                <w:sz w:val="19"/>
              </w:rPr>
              <w:t>El médico</w:t>
            </w:r>
          </w:p>
        </w:tc>
        <w:tc>
          <w:tcPr>
            <w:tcW w:type="dxa" w:w="3173"/>
          </w:tcPr>
          <w:p>
            <w:pPr>
              <w:spacing w:after="60"/>
            </w:pPr>
            <w:r/>
            <w:r>
              <w:rPr>
                <w:sz w:val="19"/>
              </w:rPr>
              <w:t xml:space="preserve">Decide qué molécula y qué marca se receta. </w:t>
            </w:r>
            <w:r>
              <w:rPr>
                <w:b/>
                <w:sz w:val="19"/>
              </w:rPr>
              <w:t>Es el cliente comercial real.</w:t>
            </w:r>
          </w:p>
        </w:tc>
      </w:tr>
      <w:tr>
        <w:tc>
          <w:tcPr>
            <w:tcW w:type="dxa" w:w="3173"/>
          </w:tcPr>
          <w:p>
            <w:pPr>
              <w:spacing w:after="60"/>
            </w:pPr>
            <w:r/>
            <w:r>
              <w:rPr>
                <w:b/>
                <w:sz w:val="19"/>
              </w:rPr>
              <w:t>Dispensador</w:t>
            </w:r>
          </w:p>
        </w:tc>
        <w:tc>
          <w:tcPr>
            <w:tcW w:type="dxa" w:w="3173"/>
          </w:tcPr>
          <w:p>
            <w:pPr>
              <w:spacing w:after="60"/>
            </w:pPr>
            <w:r/>
            <w:r>
              <w:rPr>
                <w:sz w:val="19"/>
              </w:rPr>
              <w:t>La farmacia</w:t>
            </w:r>
          </w:p>
        </w:tc>
        <w:tc>
          <w:tcPr>
            <w:tcW w:type="dxa" w:w="3173"/>
          </w:tcPr>
          <w:p>
            <w:pPr>
              <w:spacing w:after="60"/>
            </w:pPr>
            <w:r/>
            <w:r>
              <w:rPr>
                <w:sz w:val="19"/>
              </w:rPr>
              <w:t>Entrega el producto. Puede sustituir por genérico según normativa.</w:t>
            </w:r>
          </w:p>
        </w:tc>
      </w:tr>
      <w:tr>
        <w:tc>
          <w:tcPr>
            <w:tcW w:type="dxa" w:w="3173"/>
          </w:tcPr>
          <w:p>
            <w:pPr>
              <w:spacing w:after="60"/>
            </w:pPr>
            <w:r/>
            <w:r>
              <w:rPr>
                <w:b/>
                <w:sz w:val="19"/>
              </w:rPr>
              <w:t>Pagador</w:t>
            </w:r>
          </w:p>
        </w:tc>
        <w:tc>
          <w:tcPr>
            <w:tcW w:type="dxa" w:w="3173"/>
          </w:tcPr>
          <w:p>
            <w:pPr>
              <w:spacing w:after="60"/>
            </w:pPr>
            <w:r/>
            <w:r>
              <w:rPr>
                <w:sz w:val="19"/>
              </w:rPr>
              <w:t>Sistema público / aseguradora / paciente</w:t>
            </w:r>
          </w:p>
        </w:tc>
        <w:tc>
          <w:tcPr>
            <w:tcW w:type="dxa" w:w="3173"/>
          </w:tcPr>
          <w:p>
            <w:pPr>
              <w:spacing w:after="60"/>
            </w:pPr>
            <w:r/>
            <w:r>
              <w:rPr>
                <w:sz w:val="19"/>
              </w:rPr>
              <w:t>Financia total o parcialmente.</w:t>
            </w:r>
          </w:p>
        </w:tc>
      </w:tr>
    </w:tbl>
    <w:p>
      <w:pPr>
        <w:spacing w:after="80"/>
      </w:pPr>
    </w:p>
    <w:p>
      <w:r>
        <w:t xml:space="preserve">Consecuencia directa: </w:t>
      </w:r>
      <w:r>
        <w:rPr>
          <w:b/>
        </w:rPr>
        <w:t>toda la actividad comercial del laboratorio se dirige al médico</w:t>
      </w:r>
      <w:r>
        <w:t xml:space="preserve">, no al comprador final. No hay promociones al consumidor, ni descuentos, ni publicidad masiva para producto con receta. La única palanca comercial relevante es la </w:t>
      </w:r>
      <w:r>
        <w:rPr>
          <w:b/>
        </w:rPr>
        <w:t>visita médica</w:t>
      </w:r>
      <w:r>
        <w:t>.</w:t>
      </w:r>
    </w:p>
    <w:p>
      <w:pPr>
        <w:pStyle w:val="Heading2"/>
      </w:pPr>
      <w:r>
        <w:rPr>
          <w:b/>
          <w:color w:val="1B192D"/>
          <w:sz w:val="28"/>
        </w:rPr>
        <w:t>2. El delegado (visitador médico)</w:t>
      </w:r>
    </w:p>
    <w:p>
      <w:r>
        <w:t>El delegado es un comercial asignado a un territorio geográfico. Su trabajo consiste en visitar médicos de su cartera para presentar evidencia clínica del producto, resolver dudas y mantener presencia de marca frente a competidores.</w:t>
      </w:r>
    </w:p>
    <w:p>
      <w:pPr>
        <w:pStyle w:val="ListBullet"/>
      </w:pPr>
      <w:r>
        <w:t>Gestiona una cartera de entre 20 y 60 médicos.</w:t>
      </w:r>
    </w:p>
    <w:p>
      <w:pPr>
        <w:pStyle w:val="ListBullet"/>
      </w:pPr>
      <w:r>
        <w:t>Realiza entre 6 y 10 visitas efectivas al día.</w:t>
      </w:r>
    </w:p>
    <w:p>
      <w:pPr>
        <w:pStyle w:val="ListBullet"/>
      </w:pPr>
      <w:r>
        <w:t xml:space="preserve">Su capacidad total de visitas al año es </w:t>
      </w:r>
      <w:r>
        <w:rPr>
          <w:b/>
        </w:rPr>
        <w:t>el recurso escaso del sistema</w:t>
      </w:r>
      <w:r>
        <w:t>. Toda decisión de asignación es un juego de suma cero: visitar más a un médico implica visitar menos a otro.</w:t>
      </w:r>
    </w:p>
    <w:p>
      <w:r>
        <w:t>El marco regulatorio del sector, con sus códigos de buenas prácticas, limita fuertemente qué se puede ofrecer al médico. No existen incentivos económicos por prescribir. La palanca es puramente informativa y relacional.</w:t>
      </w:r>
    </w:p>
    <w:p>
      <w:pPr>
        <w:pStyle w:val="Heading2"/>
      </w:pPr>
      <w:r>
        <w:rPr>
          <w:b/>
          <w:color w:val="1B192D"/>
          <w:sz w:val="28"/>
        </w:rPr>
        <w:t>3. Segmentación por potencial: A / B / C</w:t>
      </w:r>
    </w:p>
    <w:p>
      <w:r>
        <w:t xml:space="preserve">Los médicos no valen lo mismo. Un médico hospitalario que ve 80 pacientes con la patología al mes tiene mucho más potencial que uno que ve 5. Los laboratorios segmentan su universo de prescriptores por </w:t>
      </w:r>
      <w:r>
        <w:rPr>
          <w:b/>
        </w:rPr>
        <w:t>potencial de prescripción</w:t>
      </w:r>
      <w:r>
        <w:t xml:space="preserve"> , volumen total de la categoría terapéutica que ese médico mueve, independientemente de la marca:</w:t>
      </w:r>
    </w:p>
    <w:p>
      <w:pPr>
        <w:pStyle w:val="ListBullet"/>
      </w:pPr>
      <w:r>
        <w:rPr>
          <w:b/>
        </w:rPr>
        <w:t>Segmento A</w:t>
      </w:r>
      <w:r>
        <w:t>, alto potencial. Minoría de médicos, gran parte del negocio.</w:t>
      </w:r>
    </w:p>
    <w:p>
      <w:pPr>
        <w:pStyle w:val="ListBullet"/>
      </w:pPr>
      <w:r>
        <w:rPr>
          <w:b/>
        </w:rPr>
        <w:t>Segmento B</w:t>
      </w:r>
      <w:r>
        <w:t>, potencial medio.</w:t>
      </w:r>
    </w:p>
    <w:p>
      <w:pPr>
        <w:pStyle w:val="ListBullet"/>
      </w:pPr>
      <w:r>
        <w:rPr>
          <w:b/>
        </w:rPr>
        <w:t>Segmento C</w:t>
      </w:r>
      <w:r>
        <w:t>, bajo potencial.</w:t>
      </w:r>
    </w:p>
    <w:p>
      <w:r>
        <w:rPr>
          <w:b/>
        </w:rPr>
        <w:t>Importante:</w:t>
      </w:r>
      <w:r>
        <w:t xml:space="preserve"> el segmento mide </w:t>
      </w:r>
      <w:r>
        <w:rPr>
          <w:i/>
        </w:rPr>
        <w:t>potencial</w:t>
      </w:r>
      <w:r>
        <w:t xml:space="preserve">, no </w:t>
      </w:r>
      <w:r>
        <w:rPr>
          <w:i/>
        </w:rPr>
        <w:t>rendimiento</w:t>
      </w:r>
      <w:r>
        <w:t>. Un médico A puede tener muy poca cuota de nuestro producto (mucho potencial sin capturar) y un médico C puede prescribirnos casi en exclusiva.</w:t>
      </w:r>
    </w:p>
    <w:p>
      <w:r>
        <w:t>La regla operativa habitual es asignar frecuencia de visita proporcional al potencial: los A se visitan más que los B, y los B más que los C. Esa regla es el punto de partida del caso, no necesariamente la respuesta correcta.</w:t>
      </w:r>
    </w:p>
    <w:p>
      <w:pPr>
        <w:pStyle w:val="Heading2"/>
      </w:pPr>
      <w:r>
        <w:rPr>
          <w:b/>
          <w:color w:val="1B192D"/>
          <w:sz w:val="28"/>
        </w:rPr>
        <w:t xml:space="preserve">4. El </w:t>
      </w:r>
      <w:r>
        <w:rPr>
          <w:b/>
          <w:color w:val="1B192D"/>
          <w:sz w:val="28"/>
        </w:rPr>
        <w:t>brick</w:t>
      </w:r>
      <w:r>
        <w:rPr>
          <w:b/>
          <w:color w:val="1B192D"/>
          <w:sz w:val="28"/>
        </w:rPr>
        <w:t>: la unidad territorial</w:t>
      </w:r>
    </w:p>
    <w:p>
      <w:r>
        <w:t xml:space="preserve">Un </w:t>
      </w:r>
      <w:r>
        <w:rPr>
          <w:i/>
        </w:rPr>
        <w:t>brick</w:t>
      </w:r>
      <w:r>
        <w:t xml:space="preserve"> es la unidad geográfica mínima de análisis del sector (un código postal agregado o similar). Sirve para asignar carteras a delegados y para comprar datos de mercado. En este caso hay 120 bricks agrupados en cinco regiones comerciales: Noreste, Noroeste, Centro, Levante y Sur.</w:t>
      </w:r>
    </w:p>
    <w:p>
      <w:pPr>
        <w:pStyle w:val="Heading2"/>
      </w:pPr>
      <w:r>
        <w:rPr>
          <w:b/>
          <w:color w:val="1B192D"/>
          <w:sz w:val="28"/>
        </w:rPr>
        <w:t>5. Las tres métricas que se confunden constantemente</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0F5"/>
          </w:tcPr>
          <w:p>
            <w:pPr>
              <w:spacing w:after="60"/>
            </w:pPr>
            <w:r>
              <w:rPr>
                <w:b/>
              </w:rPr>
            </w:r>
            <w:r>
              <w:rPr>
                <w:b/>
                <w:sz w:val="19"/>
              </w:rPr>
              <w:t>Métrica</w:t>
            </w:r>
          </w:p>
        </w:tc>
        <w:tc>
          <w:tcPr>
            <w:tcW w:type="dxa" w:w="3173"/>
            <w:shd w:val="clear" w:color="auto" w:fill="EEF0F5"/>
          </w:tcPr>
          <w:p>
            <w:pPr>
              <w:spacing w:after="60"/>
            </w:pPr>
            <w:r>
              <w:rPr>
                <w:b/>
              </w:rPr>
            </w:r>
            <w:r>
              <w:rPr>
                <w:b/>
                <w:sz w:val="19"/>
              </w:rPr>
              <w:t>Qué mide</w:t>
            </w:r>
          </w:p>
        </w:tc>
        <w:tc>
          <w:tcPr>
            <w:tcW w:type="dxa" w:w="3173"/>
            <w:shd w:val="clear" w:color="auto" w:fill="EEF0F5"/>
          </w:tcPr>
          <w:p>
            <w:pPr>
              <w:spacing w:after="60"/>
            </w:pPr>
            <w:r>
              <w:rPr>
                <w:b/>
              </w:rPr>
            </w:r>
            <w:r>
              <w:rPr>
                <w:b/>
                <w:sz w:val="19"/>
              </w:rPr>
              <w:t>En este caso</w:t>
            </w:r>
          </w:p>
        </w:tc>
      </w:tr>
      <w:tr>
        <w:tc>
          <w:tcPr>
            <w:tcW w:type="dxa" w:w="3173"/>
          </w:tcPr>
          <w:p>
            <w:pPr>
              <w:spacing w:after="60"/>
            </w:pPr>
            <w:r/>
            <w:r>
              <w:rPr>
                <w:b/>
                <w:sz w:val="19"/>
              </w:rPr>
              <w:t>Sell-in</w:t>
            </w:r>
          </w:p>
        </w:tc>
        <w:tc>
          <w:tcPr>
            <w:tcW w:type="dxa" w:w="3173"/>
          </w:tcPr>
          <w:p>
            <w:pPr>
              <w:spacing w:after="60"/>
            </w:pPr>
            <w:r/>
            <w:r>
              <w:rPr>
                <w:sz w:val="19"/>
              </w:rPr>
              <w:t>Unidades que el laboratorio vende a mayoristas/distribuidores</w:t>
            </w:r>
          </w:p>
        </w:tc>
        <w:tc>
          <w:tcPr>
            <w:tcW w:type="dxa" w:w="3173"/>
          </w:tcPr>
          <w:p>
            <w:pPr>
              <w:spacing w:after="60"/>
            </w:pPr>
            <w:r/>
            <w:r>
              <w:rPr>
                <w:i/>
                <w:sz w:val="19"/>
              </w:rPr>
              <w:t>No disponible</w:t>
            </w:r>
          </w:p>
        </w:tc>
      </w:tr>
      <w:tr>
        <w:tc>
          <w:tcPr>
            <w:tcW w:type="dxa" w:w="3173"/>
          </w:tcPr>
          <w:p>
            <w:pPr>
              <w:spacing w:after="60"/>
            </w:pPr>
            <w:r/>
            <w:r>
              <w:rPr>
                <w:b/>
                <w:sz w:val="19"/>
              </w:rPr>
              <w:t>Sell-out</w:t>
            </w:r>
          </w:p>
        </w:tc>
        <w:tc>
          <w:tcPr>
            <w:tcW w:type="dxa" w:w="3173"/>
          </w:tcPr>
          <w:p>
            <w:pPr>
              <w:spacing w:after="60"/>
            </w:pPr>
            <w:r/>
            <w:r>
              <w:rPr>
                <w:sz w:val="19"/>
              </w:rPr>
              <w:t>Unidades dispensadas en farmacia al paciente</w:t>
            </w:r>
          </w:p>
        </w:tc>
        <w:tc>
          <w:tcPr>
            <w:tcW w:type="dxa" w:w="3173"/>
          </w:tcPr>
          <w:p>
            <w:pPr>
              <w:spacing w:after="60"/>
            </w:pPr>
            <w:r/>
            <w:r>
              <w:rPr>
                <w:i/>
                <w:sz w:val="19"/>
              </w:rPr>
              <w:t>No disponible</w:t>
            </w:r>
          </w:p>
        </w:tc>
      </w:tr>
      <w:tr>
        <w:tc>
          <w:tcPr>
            <w:tcW w:type="dxa" w:w="3173"/>
          </w:tcPr>
          <w:p>
            <w:pPr>
              <w:spacing w:after="60"/>
            </w:pPr>
            <w:r/>
            <w:r>
              <w:rPr>
                <w:b/>
                <w:sz w:val="19"/>
              </w:rPr>
              <w:t>Prescripción</w:t>
            </w:r>
          </w:p>
        </w:tc>
        <w:tc>
          <w:tcPr>
            <w:tcW w:type="dxa" w:w="3173"/>
          </w:tcPr>
          <w:p>
            <w:pPr>
              <w:spacing w:after="60"/>
            </w:pPr>
            <w:r/>
            <w:r>
              <w:rPr>
                <w:sz w:val="19"/>
              </w:rPr>
              <w:t>Unidades recetadas por el médico</w:t>
            </w:r>
          </w:p>
        </w:tc>
        <w:tc>
          <w:tcPr>
            <w:tcW w:type="dxa" w:w="3173"/>
          </w:tcPr>
          <w:p>
            <w:pPr>
              <w:spacing w:after="60"/>
            </w:pPr>
            <w:r/>
            <w:r>
              <w:rPr>
                <w:b/>
                <w:sz w:val="19"/>
              </w:rPr>
              <w:t>Es lo que tienes</w:t>
            </w:r>
          </w:p>
        </w:tc>
      </w:tr>
    </w:tbl>
    <w:p>
      <w:pPr>
        <w:spacing w:after="80"/>
      </w:pPr>
    </w:p>
    <w:p>
      <w:r>
        <w:t>Trabajarás con datos de prescripción a nivel médico-mes, que es el nivel de granularidad al que opera la fuerza comercial. Dispones de dos cifras por médico y mes:</w:t>
      </w:r>
    </w:p>
    <w:p>
      <w:pPr>
        <w:pStyle w:val="ListBullet"/>
      </w:pPr>
      <w:r>
        <w:rPr>
          <w:rFonts w:ascii="Consolas" w:hAnsi="Consolas"/>
          <w:b/>
          <w:sz w:val="20"/>
        </w:rPr>
        <w:t>unidades_producto</w:t>
      </w:r>
      <w:r>
        <w:t xml:space="preserve">, unidades prescritas de </w:t>
      </w:r>
      <w:r>
        <w:rPr>
          <w:i/>
        </w:rPr>
        <w:t>nuestro</w:t>
      </w:r>
      <w:r>
        <w:t xml:space="preserve"> producto.</w:t>
      </w:r>
    </w:p>
    <w:p>
      <w:pPr>
        <w:pStyle w:val="ListBullet"/>
      </w:pPr>
      <w:r>
        <w:rPr>
          <w:rFonts w:ascii="Consolas" w:hAnsi="Consolas"/>
          <w:b/>
          <w:sz w:val="20"/>
        </w:rPr>
        <w:t>unidades_categoria</w:t>
      </w:r>
      <w:r>
        <w:t xml:space="preserve">, unidades prescritas por ese médico de </w:t>
      </w:r>
      <w:r>
        <w:rPr>
          <w:i/>
        </w:rPr>
        <w:t>toda la categoría terapéutica</w:t>
      </w:r>
      <w:r>
        <w:t>, incluyendo competidores.</w:t>
      </w:r>
    </w:p>
    <w:p>
      <w:r>
        <w:t xml:space="preserve">La segunda cifra procede de un panel de mercado (tipo IQVIA) y es la que permite calcular </w:t>
      </w:r>
      <w:r>
        <w:rPr>
          <w:b/>
        </w:rPr>
        <w:t>cuota de mercado del médico</w:t>
      </w:r>
      <w:r>
        <w:t>:</w:t>
      </w:r>
    </w:p>
    <w:p>
      <w:pPr>
        <w:pStyle w:val="IntenseQuote"/>
      </w:pPr>
      <w:r>
        <w:rPr>
          <w:b/>
        </w:rPr>
        <w:t>cuota = unidades_producto / unidades_categoria</w:t>
      </w:r>
    </w:p>
    <w:p>
      <w:r>
        <w:t>Esta distinción es central. Las unidades absolutas de un médico dependen sobre todo de cuántos pacientes ve; la cuota mide cuánto de su potencial estamos capturando nosotros frente a la competencia.</w:t>
      </w:r>
    </w:p>
    <w:p>
      <w:pPr>
        <w:pStyle w:val="Heading2"/>
      </w:pPr>
      <w:r>
        <w:rPr>
          <w:b/>
          <w:color w:val="1B192D"/>
          <w:sz w:val="28"/>
        </w:rPr>
        <w:t>6. El producto de este caso</w:t>
      </w:r>
    </w:p>
    <w:p>
      <w:r>
        <w:t>Producto maduro con más de diez años en el mercado, en una categoría terapéutica competida y de crecimiento bajo. La cuota global ronda el 20%. No hay lanzamientos, cambios de precio ni eventos regulatorios en el periodo analizado. El negocio anual se sitúa en torno a los 30 M€.</w:t>
      </w:r>
    </w:p>
    <w:p>
      <w:pPr>
        <w:pStyle w:val="Heading2"/>
      </w:pPr>
      <w:r>
        <w:rPr>
          <w:b/>
          <w:color w:val="1B192D"/>
          <w:sz w:val="28"/>
        </w:rPr>
        <w:t>7. Palancas del director comercial</w:t>
      </w:r>
    </w:p>
    <w:p>
      <w:r>
        <w:t>Dado lo anterior, un director comercial de farma tiene un abanico de decisiones estrecho pero de alto impacto:</w:t>
      </w:r>
    </w:p>
    <w:p>
      <w:pPr>
        <w:pStyle w:val="ListNumber"/>
        <w:numPr>
          <w:ilvl w:val="0"/>
          <w:numId w:val="10"/>
        </w:numPr>
      </w:pPr>
      <w:r>
        <w:rPr>
          <w:b/>
        </w:rPr>
        <w:t>A quién visitar</w:t>
      </w:r>
      <w:r>
        <w:t xml:space="preserve">, qué médicos entran en la </w:t>
      </w:r>
      <w:r>
        <w:rPr>
          <w:i/>
        </w:rPr>
        <w:t>target list</w:t>
      </w:r>
      <w:r>
        <w:t>.</w:t>
      </w:r>
    </w:p>
    <w:p>
      <w:pPr>
        <w:pStyle w:val="ListNumber"/>
        <w:numPr>
          <w:ilvl w:val="0"/>
          <w:numId w:val="10"/>
        </w:numPr>
      </w:pPr>
      <w:r>
        <w:rPr>
          <w:b/>
        </w:rPr>
        <w:t>Con qué frecuencia</w:t>
      </w:r>
      <w:r>
        <w:t>, cuántas visitas al año recibe cada médico.</w:t>
      </w:r>
    </w:p>
    <w:p>
      <w:pPr>
        <w:pStyle w:val="ListNumber"/>
        <w:numPr>
          <w:ilvl w:val="0"/>
          <w:numId w:val="10"/>
        </w:numPr>
      </w:pPr>
      <w:r>
        <w:rPr>
          <w:b/>
        </w:rPr>
        <w:t>Cómo dimensionar y repartir el equipo</w:t>
      </w:r>
      <w:r>
        <w:t>, número de delegados y diseño de territorios.</w:t>
      </w:r>
    </w:p>
    <w:p>
      <w:r>
        <w:t>El caso trata sobre las dos primeras.</w:t>
      </w:r>
    </w:p>
    <w:p>
      <w:pPr>
        <w:spacing w:after="40"/>
        <w:pBdr>
          <w:bottom w:val="single" w:sz="6" w:space="1" w:color="D5DAE6"/>
        </w:pBdr>
      </w:pPr>
    </w:p>
    <w:p>
      <w:pPr>
        <w:pStyle w:val="Heading2"/>
      </w:pPr>
      <w:r>
        <w:rPr>
          <w:b/>
          <w:color w:val="1B192D"/>
          <w:sz w:val="28"/>
        </w:rPr>
        <w:t>Glosario rápido</w:t>
      </w:r>
    </w:p>
    <w:p>
      <w:pPr>
        <w:pStyle w:val="ListBullet"/>
      </w:pPr>
      <w:r>
        <w:rPr>
          <w:b/>
        </w:rPr>
        <w:t>Delegado / visitador</w:t>
      </w:r>
      <w:r>
        <w:t>: comercial que visita médicos.</w:t>
      </w:r>
    </w:p>
    <w:p>
      <w:pPr>
        <w:pStyle w:val="ListBullet"/>
      </w:pPr>
      <w:r>
        <w:rPr>
          <w:b/>
        </w:rPr>
        <w:t>Prescriptor</w:t>
      </w:r>
      <w:r>
        <w:t>: médico que receta.</w:t>
      </w:r>
    </w:p>
    <w:p>
      <w:pPr>
        <w:pStyle w:val="ListBullet"/>
      </w:pPr>
      <w:r>
        <w:rPr>
          <w:b/>
        </w:rPr>
        <w:t>Target list</w:t>
      </w:r>
      <w:r>
        <w:t>: universo de médicos que el laboratorio decide visitar.</w:t>
      </w:r>
    </w:p>
    <w:p>
      <w:pPr>
        <w:pStyle w:val="ListBullet"/>
      </w:pPr>
      <w:r>
        <w:rPr>
          <w:b/>
        </w:rPr>
        <w:t>Frecuencia de visita</w:t>
      </w:r>
      <w:r>
        <w:t>: número de visitas anuales a un médico.</w:t>
      </w:r>
    </w:p>
    <w:p>
      <w:pPr>
        <w:pStyle w:val="ListBullet"/>
      </w:pPr>
      <w:r>
        <w:rPr>
          <w:b/>
        </w:rPr>
        <w:t>Cobertura</w:t>
      </w:r>
      <w:r>
        <w:t>: porcentaje de médicos objetivo visitados al menos una vez en un periodo.</w:t>
      </w:r>
    </w:p>
    <w:p>
      <w:pPr>
        <w:pStyle w:val="ListBullet"/>
      </w:pPr>
      <w:r>
        <w:rPr>
          <w:b/>
        </w:rPr>
        <w:t>Brick</w:t>
      </w:r>
      <w:r>
        <w:t>: unidad territorial mínima.</w:t>
      </w:r>
    </w:p>
    <w:p>
      <w:pPr>
        <w:pStyle w:val="ListBullet"/>
      </w:pPr>
      <w:r>
        <w:rPr>
          <w:b/>
        </w:rPr>
        <w:t>Segmento A/B/C</w:t>
      </w:r>
      <w:r>
        <w:t>: clasificación del médico por potencial de prescripción.</w:t>
      </w:r>
    </w:p>
    <w:p>
      <w:pPr>
        <w:pStyle w:val="ListBullet"/>
      </w:pPr>
      <w:r>
        <w:rPr>
          <w:b/>
        </w:rPr>
        <w:t>Cuota</w:t>
      </w:r>
      <w:r>
        <w:t>: porcentaje de la categoría de un médico que captura nuestro producto.</w:t>
      </w:r>
    </w:p>
    <w:p>
      <w:pPr>
        <w:pStyle w:val="ListBullet"/>
      </w:pPr>
      <w:r>
        <w:rPr>
          <w:b/>
        </w:rPr>
        <w:t>Panel de mercado</w:t>
      </w:r>
      <w:r>
        <w:t>: fuente externa que estima prescripción total de la categoría.</w:t>
      </w:r>
    </w:p>
    <w:p>
      <w:pPr>
        <w:spacing w:after="40"/>
        <w:pBdr>
          <w:bottom w:val="single" w:sz="6" w:space="1" w:color="D5DAE6"/>
        </w:pBdr>
      </w:pPr>
    </w:p>
    <w:p>
      <w:r>
        <w:br w:type="page"/>
      </w:r>
    </w:p>
    <w:p>
      <w:pPr>
        <w:pStyle w:val="Heading1"/>
      </w:pPr>
      <w:r>
        <w:rPr>
          <w:b/>
          <w:color w:val="1B192D"/>
          <w:sz w:val="40"/>
        </w:rPr>
        <w:t>Parte 2. El caso</w:t>
      </w:r>
    </w:p>
    <w:p>
      <w:pPr>
        <w:pStyle w:val="Heading2"/>
      </w:pPr>
      <w:r>
        <w:rPr>
          <w:b/>
          <w:color w:val="1B192D"/>
          <w:sz w:val="28"/>
        </w:rPr>
        <w:t>Situación</w:t>
      </w:r>
    </w:p>
    <w:p>
      <w:r>
        <w:t>Eres analista en el equipo de Business Insights de un laboratorio farmacéutico. El producto es maduro, líder en su categoría, con una cuota global en torno al 20% y unas ventas anuales de ~30 M€. La fuerza comercial la componen 50 delegados que cubren un universo de 2.000 médicos repartidos en cinco regiones.</w:t>
      </w:r>
    </w:p>
    <w:p>
      <w:r>
        <w:t>La Dirección Comercial ha convocado al equipo. En la reunión, el director plantea lo siguiente:</w:t>
      </w:r>
    </w:p>
    <w:p>
      <w:pPr>
        <w:pStyle w:val="IntenseQuote"/>
      </w:pPr>
      <w:r>
        <w:rPr>
          <w:i/>
        </w:rPr>
        <w:t>«Llevamos tres años con la misma lógica de asignación de visitas: los médicos de alto potencial se visitan mucho, los de bajo potencial poco. Nadie la ha cuestionado nunca. Antes de cerrar el plan del año que viene quiero saber si estamos invirtiendo bien el tiempo de mis 50 delegados. Y si no, quiero saber exactamente qué cambiar y cuánto vale.»</w:t>
      </w:r>
    </w:p>
    <w:p>
      <w:r>
        <w:t>Te entregan dos años de histórico, 2024 y 2025.</w:t>
      </w:r>
    </w:p>
    <w:p>
      <w:pPr>
        <w:pStyle w:val="Heading2"/>
      </w:pPr>
      <w:r>
        <w:rPr>
          <w:b/>
          <w:color w:val="1B192D"/>
          <w:sz w:val="28"/>
        </w:rPr>
        <w:t>La pregunta</w:t>
      </w:r>
    </w:p>
    <w:p>
      <w:pPr>
        <w:pStyle w:val="IntenseQuote"/>
      </w:pPr>
      <w:r>
        <w:rPr>
          <w:b/>
        </w:rPr>
        <w:t>¿Está el esfuerzo comercial bien asignado? Si no lo está, ¿dónde exactamente, qué cambiarías y cuánto valdría el cambio?</w:t>
      </w:r>
    </w:p>
    <w:p>
      <w:r>
        <w:t>No hay sub-preguntas guía. Parte del ejercicio consiste en decidir cómo estructurar el problema.</w:t>
      </w:r>
    </w:p>
    <w:p>
      <w:pPr>
        <w:pStyle w:val="Heading2"/>
      </w:pPr>
      <w:r>
        <w:rPr>
          <w:b/>
          <w:color w:val="1B192D"/>
          <w:sz w:val="28"/>
        </w:rPr>
        <w:t>Datos</w:t>
      </w:r>
    </w:p>
    <w:p>
      <w:r>
        <w:t xml:space="preserve">Cuatro ficheros CSV en la carpeta </w:t>
      </w:r>
      <w:r>
        <w:rPr>
          <w:rFonts w:ascii="Consolas" w:hAnsi="Consolas"/>
          <w:sz w:val="20"/>
        </w:rPr>
        <w:t>2_datos/</w:t>
      </w:r>
      <w:r>
        <w:t xml:space="preserve">. La descripción de cada campo, campo a campo, está en la </w:t>
      </w:r>
      <w:r>
        <w:rPr>
          <w:b/>
        </w:rPr>
        <w:t>Parte 3</w:t>
      </w:r>
      <w:r>
        <w:t xml:space="preserve"> de este mismo documento.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0F5"/>
          </w:tcPr>
          <w:p>
            <w:pPr>
              <w:spacing w:after="60"/>
            </w:pPr>
            <w:r>
              <w:rPr>
                <w:b/>
              </w:rPr>
            </w:r>
            <w:r>
              <w:rPr>
                <w:b/>
                <w:sz w:val="19"/>
              </w:rPr>
              <w:t>Fichero</w:t>
            </w:r>
          </w:p>
        </w:tc>
        <w:tc>
          <w:tcPr>
            <w:tcW w:type="dxa" w:w="3173"/>
            <w:shd w:val="clear" w:color="auto" w:fill="EEF0F5"/>
          </w:tcPr>
          <w:p>
            <w:pPr>
              <w:spacing w:after="60"/>
            </w:pPr>
            <w:r>
              <w:rPr>
                <w:b/>
              </w:rPr>
            </w:r>
            <w:r>
              <w:rPr>
                <w:b/>
                <w:sz w:val="19"/>
              </w:rPr>
              <w:t>Contenido</w:t>
            </w:r>
          </w:p>
        </w:tc>
        <w:tc>
          <w:tcPr>
            <w:tcW w:type="dxa" w:w="3173"/>
            <w:shd w:val="clear" w:color="auto" w:fill="EEF0F5"/>
          </w:tcPr>
          <w:p>
            <w:pPr>
              <w:spacing w:after="60"/>
            </w:pPr>
            <w:r>
              <w:rPr>
                <w:b/>
              </w:rPr>
            </w:r>
            <w:r>
              <w:rPr>
                <w:b/>
                <w:sz w:val="19"/>
              </w:rPr>
              <w:t>Filas</w:t>
            </w:r>
          </w:p>
        </w:tc>
      </w:tr>
      <w:tr>
        <w:tc>
          <w:tcPr>
            <w:tcW w:type="dxa" w:w="3173"/>
          </w:tcPr>
          <w:p>
            <w:pPr>
              <w:spacing w:after="60"/>
            </w:pPr>
            <w:r/>
            <w:r>
              <w:rPr>
                <w:rFonts w:ascii="Consolas" w:hAnsi="Consolas"/>
                <w:sz w:val="18"/>
              </w:rPr>
              <w:t>visitas.csv</w:t>
            </w:r>
          </w:p>
        </w:tc>
        <w:tc>
          <w:tcPr>
            <w:tcW w:type="dxa" w:w="3173"/>
          </w:tcPr>
          <w:p>
            <w:pPr>
              <w:spacing w:after="60"/>
            </w:pPr>
            <w:r/>
            <w:r>
              <w:rPr>
                <w:sz w:val="19"/>
              </w:rPr>
              <w:t>Registro de visitas realizadas</w:t>
            </w:r>
          </w:p>
        </w:tc>
        <w:tc>
          <w:tcPr>
            <w:tcW w:type="dxa" w:w="3173"/>
          </w:tcPr>
          <w:p>
            <w:pPr>
              <w:spacing w:after="60"/>
            </w:pPr>
            <w:r/>
            <w:r>
              <w:rPr>
                <w:sz w:val="19"/>
              </w:rPr>
              <w:t>16.917</w:t>
            </w:r>
          </w:p>
        </w:tc>
      </w:tr>
      <w:tr>
        <w:tc>
          <w:tcPr>
            <w:tcW w:type="dxa" w:w="3173"/>
          </w:tcPr>
          <w:p>
            <w:pPr>
              <w:spacing w:after="60"/>
            </w:pPr>
            <w:r/>
            <w:r>
              <w:rPr>
                <w:rFonts w:ascii="Consolas" w:hAnsi="Consolas"/>
                <w:sz w:val="18"/>
              </w:rPr>
              <w:t>prescripciones.csv</w:t>
            </w:r>
          </w:p>
        </w:tc>
        <w:tc>
          <w:tcPr>
            <w:tcW w:type="dxa" w:w="3173"/>
          </w:tcPr>
          <w:p>
            <w:pPr>
              <w:spacing w:after="60"/>
            </w:pPr>
            <w:r/>
            <w:r>
              <w:rPr>
                <w:sz w:val="19"/>
              </w:rPr>
              <w:t>Prescripción mensual por médico (producto y categoría)</w:t>
            </w:r>
          </w:p>
        </w:tc>
        <w:tc>
          <w:tcPr>
            <w:tcW w:type="dxa" w:w="3173"/>
          </w:tcPr>
          <w:p>
            <w:pPr>
              <w:spacing w:after="60"/>
            </w:pPr>
            <w:r/>
            <w:r>
              <w:rPr>
                <w:sz w:val="19"/>
              </w:rPr>
              <w:t>48.000</w:t>
            </w:r>
          </w:p>
        </w:tc>
      </w:tr>
      <w:tr>
        <w:tc>
          <w:tcPr>
            <w:tcW w:type="dxa" w:w="3173"/>
          </w:tcPr>
          <w:p>
            <w:pPr>
              <w:spacing w:after="60"/>
            </w:pPr>
            <w:r/>
            <w:r>
              <w:rPr>
                <w:rFonts w:ascii="Consolas" w:hAnsi="Consolas"/>
                <w:sz w:val="18"/>
              </w:rPr>
              <w:t>maestro_medicos.csv</w:t>
            </w:r>
          </w:p>
        </w:tc>
        <w:tc>
          <w:tcPr>
            <w:tcW w:type="dxa" w:w="3173"/>
          </w:tcPr>
          <w:p>
            <w:pPr>
              <w:spacing w:after="60"/>
            </w:pPr>
            <w:r/>
            <w:r>
              <w:rPr>
                <w:sz w:val="19"/>
              </w:rPr>
              <w:t>Universo de médicos con sus atributos</w:t>
            </w:r>
          </w:p>
        </w:tc>
        <w:tc>
          <w:tcPr>
            <w:tcW w:type="dxa" w:w="3173"/>
          </w:tcPr>
          <w:p>
            <w:pPr>
              <w:spacing w:after="60"/>
            </w:pPr>
            <w:r/>
            <w:r>
              <w:rPr>
                <w:sz w:val="19"/>
              </w:rPr>
              <w:t>2.000</w:t>
            </w:r>
          </w:p>
        </w:tc>
      </w:tr>
      <w:tr>
        <w:tc>
          <w:tcPr>
            <w:tcW w:type="dxa" w:w="3173"/>
          </w:tcPr>
          <w:p>
            <w:pPr>
              <w:spacing w:after="60"/>
            </w:pPr>
            <w:r/>
            <w:r>
              <w:rPr>
                <w:rFonts w:ascii="Consolas" w:hAnsi="Consolas"/>
                <w:sz w:val="18"/>
              </w:rPr>
              <w:t>maestro_delegados.csv</w:t>
            </w:r>
          </w:p>
        </w:tc>
        <w:tc>
          <w:tcPr>
            <w:tcW w:type="dxa" w:w="3173"/>
          </w:tcPr>
          <w:p>
            <w:pPr>
              <w:spacing w:after="60"/>
            </w:pPr>
            <w:r/>
            <w:r>
              <w:rPr>
                <w:sz w:val="19"/>
              </w:rPr>
              <w:t>Equipo comercial y coste de visita</w:t>
            </w:r>
          </w:p>
        </w:tc>
        <w:tc>
          <w:tcPr>
            <w:tcW w:type="dxa" w:w="3173"/>
          </w:tcPr>
          <w:p>
            <w:pPr>
              <w:spacing w:after="60"/>
            </w:pPr>
            <w:r/>
            <w:r>
              <w:rPr>
                <w:sz w:val="19"/>
              </w:rPr>
              <w:t>50</w:t>
            </w:r>
          </w:p>
        </w:tc>
      </w:tr>
    </w:tbl>
    <w:p>
      <w:pPr>
        <w:spacing w:after="80"/>
      </w:pPr>
    </w:p>
    <w:p>
      <w:r>
        <w:t>Son datos reales de un entorno operativo, con las imperfecciones propias de un sistema en producción.</w:t>
      </w:r>
    </w:p>
    <w:p>
      <w:r>
        <w:rPr>
          <w:b/>
        </w:rPr>
        <w:t>Supuesto de precio:</w:t>
      </w:r>
      <w:r>
        <w:t xml:space="preserve"> 18 €/unidad. Úsalo para cualquier cuantificación económica.</w:t>
      </w:r>
    </w:p>
    <w:p>
      <w:pPr>
        <w:pStyle w:val="Heading2"/>
      </w:pPr>
      <w:r>
        <w:rPr>
          <w:b/>
          <w:color w:val="1B192D"/>
          <w:sz w:val="28"/>
        </w:rPr>
        <w:t>Qué debes entregar</w:t>
      </w:r>
    </w:p>
    <w:p>
      <w:r>
        <w:rPr>
          <w:b/>
        </w:rPr>
        <w:t>1. Presentación en PowerPoint, 6 a 8 slides</w:t>
      </w:r>
      <w:r>
        <w:t xml:space="preserve"> Dirigida al Comité Comercial. La </w:t>
      </w:r>
      <w:r>
        <w:rPr>
          <w:b/>
        </w:rPr>
        <w:t>audiencia es mixta</w:t>
      </w:r>
      <w:r>
        <w:t>: el director comercial, los regionales y el director de marketing esperan un discurso en lenguaje de negocio, y todos tienen que salir de la reunión sabiendo qué van a hacer el lunes. Pero en la sala también habrá quien pregunte por el método, así que prepárate para defender cómo has llegado a cada cifra.</w:t>
      </w:r>
    </w:p>
    <w:p>
      <w:r>
        <w:rPr>
          <w:b/>
        </w:rPr>
        <w:t>2. Código o notebook</w:t>
      </w:r>
      <w:r>
        <w:t xml:space="preserve"> El análisis que sostiene la presentación. No hace falta que esté pulido; sí que sea legible y ejecutable. Es parte de la evaluación.</w:t>
      </w:r>
    </w:p>
    <w:p>
      <w:pPr>
        <w:pStyle w:val="Heading2"/>
      </w:pPr>
      <w:r>
        <w:rPr>
          <w:b/>
          <w:color w:val="1B192D"/>
          <w:sz w:val="28"/>
        </w:rPr>
        <w:t>Sobre el uso de inteligencia artificial</w:t>
      </w:r>
    </w:p>
    <w:p>
      <w:r>
        <w:rPr>
          <w:b/>
        </w:rPr>
        <w:t>Se espera que uses herramientas de IA.</w:t>
      </w:r>
      <w:r>
        <w:t xml:space="preserve"> Forman parte de cómo trabajamos y no tiene sentido evaluarte en condiciones distintas a las reales. No hay ninguna penalización por usarlas ni ningún mérito en no hacerlo, y no hace falta que documentes nada.</w:t>
      </w:r>
    </w:p>
    <w:p>
      <w:r>
        <w:t xml:space="preserve">La única condición es que </w:t>
      </w:r>
      <w:r>
        <w:rPr>
          <w:b/>
        </w:rPr>
        <w:t>el trabajo lo tienes que haber interiorizado</w:t>
      </w:r>
      <w:r>
        <w:t>. En la sesión te preguntaremos por el detalle de tus propios números y te pediremos aplicar tu razonamiento a un escenario nuevo. Un análisis que no hayas hecho tuyo no sobrevive a esa conversación, lo hayas producido como lo hayas producido.</w:t>
      </w:r>
    </w:p>
    <w:p>
      <w:pPr>
        <w:pStyle w:val="Heading2"/>
      </w:pPr>
      <w:r>
        <w:rPr>
          <w:b/>
          <w:color w:val="1B192D"/>
          <w:sz w:val="28"/>
        </w:rPr>
        <w:t>La sesión de presentación</w:t>
      </w:r>
    </w:p>
    <w:p>
      <w:r>
        <w:t xml:space="preserve">La sesión es </w:t>
      </w:r>
      <w:r>
        <w:rPr>
          <w:b/>
        </w:rPr>
        <w:t>en remoto</w:t>
      </w:r>
      <w:r>
        <w:t xml:space="preserve">. Presentas tu análisis y tus recomendaciones en unos </w:t>
      </w:r>
      <w:r>
        <w:rPr>
          <w:b/>
        </w:rPr>
        <w:t>20 minutos</w:t>
      </w:r>
      <w:r>
        <w:t>, y a partir de ahí la conversación se alarga con las preguntas de los entrevistadores: detalle de tu análisis, cambios de premisa y un ejercicio de extensión sobre un escenario nuevo.</w:t>
      </w:r>
    </w:p>
    <w:p>
      <w:pPr>
        <w:pStyle w:val="Heading2"/>
      </w:pPr>
      <w:r>
        <w:rPr>
          <w:b/>
          <w:color w:val="1B192D"/>
          <w:sz w:val="28"/>
        </w:rPr>
        <w:t>Cómo se evalúa</w:t>
      </w:r>
    </w:p>
    <w:p>
      <w:r>
        <w:t>Miramos cuatro cosas:</w:t>
      </w:r>
    </w:p>
    <w:p>
      <w:pPr>
        <w:pStyle w:val="ListBullet"/>
      </w:pPr>
      <w:r>
        <w:rPr>
          <w:b/>
        </w:rPr>
        <w:t>Rigor analítico.</w:t>
      </w:r>
      <w:r>
        <w:t xml:space="preserve"> Si los números están bien hechos y las conclusiones se siguen de ellos.</w:t>
      </w:r>
    </w:p>
    <w:p>
      <w:pPr>
        <w:pStyle w:val="ListBullet"/>
      </w:pPr>
      <w:r>
        <w:rPr>
          <w:b/>
        </w:rPr>
        <w:t>Criterio de negocio.</w:t>
      </w:r>
      <w:r>
        <w:t xml:space="preserve"> Si la recomendación es ejecutable y responde a lo que se ha preguntado.</w:t>
      </w:r>
    </w:p>
    <w:p>
      <w:pPr>
        <w:pStyle w:val="ListBullet"/>
      </w:pPr>
      <w:r>
        <w:rPr>
          <w:b/>
        </w:rPr>
        <w:t>Comunicación ejecutiva.</w:t>
      </w:r>
      <w:r>
        <w:t xml:space="preserve"> Si un comité no técnico sale de la reunión sabiendo qué hacer.</w:t>
      </w:r>
    </w:p>
    <w:p>
      <w:pPr>
        <w:pStyle w:val="ListBullet"/>
      </w:pPr>
      <w:r>
        <w:rPr>
          <w:b/>
        </w:rPr>
        <w:t>Gestión de la ambigüedad.</w:t>
      </w:r>
      <w:r>
        <w:t xml:space="preserve"> Qué haces con lo que el enunciado no te dice.</w:t>
      </w:r>
    </w:p>
    <w:p>
      <w:r>
        <w:t>Dos advertencias que nos ahorran tiempo a todos:</w:t>
      </w:r>
    </w:p>
    <w:p>
      <w:pPr>
        <w:pStyle w:val="ListBullet"/>
      </w:pPr>
      <w:r>
        <w:rPr>
          <w:b/>
        </w:rPr>
        <w:t>No queremos un informe exhaustivo.</w:t>
      </w:r>
      <w:r>
        <w:t xml:space="preserve"> Queremos una tesis defendible con evidencia y un número al final. Un análisis que termina en </w:t>
      </w:r>
      <w:r>
        <w:t>«habría que profundizar»</w:t>
      </w:r>
      <w:r>
        <w:t xml:space="preserve"> no es una recomendación.</w:t>
      </w:r>
    </w:p>
    <w:p>
      <w:pPr>
        <w:pStyle w:val="ListBullet"/>
      </w:pPr>
      <w:r>
        <w:rPr>
          <w:b/>
        </w:rPr>
        <w:t>Los supuestos explícitos suman, no restan.</w:t>
      </w:r>
      <w:r>
        <w:t xml:space="preserve"> Si algo no se puede concluir con estos datos, dilo. Preferimos un candidato que declare los límites de su análisis a uno que los oculte.</w:t>
      </w:r>
    </w:p>
    <w:p>
      <w:r>
        <w:t>Cualquier duda sobre el enunciado, escríbenos. Las dudas sobre el análisis, resuélvelas tú y documenta el criterio.</w:t>
      </w:r>
    </w:p>
    <w:p>
      <w:pPr>
        <w:spacing w:after="40"/>
        <w:pBdr>
          <w:bottom w:val="single" w:sz="6" w:space="1" w:color="D5DAE6"/>
        </w:pBdr>
      </w:pPr>
    </w:p>
    <w:p>
      <w:r>
        <w:br w:type="page"/>
      </w:r>
    </w:p>
    <w:p>
      <w:pPr>
        <w:pStyle w:val="Heading1"/>
      </w:pPr>
      <w:r>
        <w:rPr>
          <w:b/>
          <w:color w:val="1B192D"/>
          <w:sz w:val="40"/>
        </w:rPr>
        <w:t>Parte 3. Diccionario de datos</w:t>
      </w:r>
    </w:p>
    <w:p>
      <w:r>
        <w:t>Cuatro ficheros CSV, codificación UTF-8, separador coma, cabecera en la primera fila. Periodo: enero de 2024 a diciembre de 2025 (24 meses).</w:t>
      </w:r>
    </w:p>
    <w:p>
      <w:pPr>
        <w:spacing w:after="40"/>
        <w:pBdr>
          <w:bottom w:val="single" w:sz="6" w:space="1" w:color="D5DAE6"/>
        </w:pBdr>
      </w:pPr>
    </w:p>
    <w:p>
      <w:pPr>
        <w:pStyle w:val="Heading2"/>
      </w:pPr>
      <w:r>
        <w:rPr>
          <w:rFonts w:ascii="Consolas" w:hAnsi="Consolas"/>
          <w:b/>
          <w:color w:val="1B192D"/>
          <w:sz w:val="28"/>
        </w:rPr>
        <w:t>visitas.csv</w:t>
      </w:r>
      <w:r>
        <w:rPr>
          <w:b/>
          <w:color w:val="1B192D"/>
          <w:sz w:val="28"/>
        </w:rPr>
        <w:t>, 16.917 filas</w:t>
      </w:r>
    </w:p>
    <w:p>
      <w:r>
        <w:t>Un registro por visita realizada.</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0F5"/>
          </w:tcPr>
          <w:p>
            <w:pPr>
              <w:spacing w:after="60"/>
            </w:pPr>
            <w:r>
              <w:rPr>
                <w:b/>
              </w:rPr>
            </w:r>
            <w:r>
              <w:rPr>
                <w:b/>
                <w:sz w:val="19"/>
              </w:rPr>
              <w:t>Campo</w:t>
            </w:r>
          </w:p>
        </w:tc>
        <w:tc>
          <w:tcPr>
            <w:tcW w:type="dxa" w:w="3173"/>
            <w:shd w:val="clear" w:color="auto" w:fill="EEF0F5"/>
          </w:tcPr>
          <w:p>
            <w:pPr>
              <w:spacing w:after="60"/>
            </w:pPr>
            <w:r>
              <w:rPr>
                <w:b/>
              </w:rPr>
            </w:r>
            <w:r>
              <w:rPr>
                <w:b/>
                <w:sz w:val="19"/>
              </w:rPr>
              <w:t>Tipo</w:t>
            </w:r>
          </w:p>
        </w:tc>
        <w:tc>
          <w:tcPr>
            <w:tcW w:type="dxa" w:w="3173"/>
            <w:shd w:val="clear" w:color="auto" w:fill="EEF0F5"/>
          </w:tcPr>
          <w:p>
            <w:pPr>
              <w:spacing w:after="60"/>
            </w:pPr>
            <w:r>
              <w:rPr>
                <w:b/>
              </w:rPr>
            </w:r>
            <w:r>
              <w:rPr>
                <w:b/>
                <w:sz w:val="19"/>
              </w:rPr>
              <w:t>Descripción</w:t>
            </w:r>
          </w:p>
        </w:tc>
      </w:tr>
      <w:tr>
        <w:tc>
          <w:tcPr>
            <w:tcW w:type="dxa" w:w="3173"/>
          </w:tcPr>
          <w:p>
            <w:pPr>
              <w:spacing w:after="60"/>
            </w:pPr>
            <w:r/>
            <w:r>
              <w:rPr>
                <w:rFonts w:ascii="Consolas" w:hAnsi="Consolas"/>
                <w:sz w:val="18"/>
              </w:rPr>
              <w:t>id_visita</w:t>
            </w:r>
          </w:p>
        </w:tc>
        <w:tc>
          <w:tcPr>
            <w:tcW w:type="dxa" w:w="3173"/>
          </w:tcPr>
          <w:p>
            <w:pPr>
              <w:spacing w:after="60"/>
            </w:pPr>
            <w:r/>
            <w:r>
              <w:rPr>
                <w:sz w:val="19"/>
              </w:rPr>
              <w:t>texto</w:t>
            </w:r>
          </w:p>
        </w:tc>
        <w:tc>
          <w:tcPr>
            <w:tcW w:type="dxa" w:w="3173"/>
          </w:tcPr>
          <w:p>
            <w:pPr>
              <w:spacing w:after="60"/>
            </w:pPr>
            <w:r/>
            <w:r>
              <w:rPr>
                <w:sz w:val="19"/>
              </w:rPr>
              <w:t>Identificador único de la visita</w:t>
            </w:r>
          </w:p>
        </w:tc>
      </w:tr>
      <w:tr>
        <w:tc>
          <w:tcPr>
            <w:tcW w:type="dxa" w:w="3173"/>
          </w:tcPr>
          <w:p>
            <w:pPr>
              <w:spacing w:after="60"/>
            </w:pPr>
            <w:r/>
            <w:r>
              <w:rPr>
                <w:rFonts w:ascii="Consolas" w:hAnsi="Consolas"/>
                <w:sz w:val="18"/>
              </w:rPr>
              <w:t>id_delegado</w:t>
            </w:r>
          </w:p>
        </w:tc>
        <w:tc>
          <w:tcPr>
            <w:tcW w:type="dxa" w:w="3173"/>
          </w:tcPr>
          <w:p>
            <w:pPr>
              <w:spacing w:after="60"/>
            </w:pPr>
            <w:r/>
            <w:r>
              <w:rPr>
                <w:sz w:val="19"/>
              </w:rPr>
              <w:t>texto</w:t>
            </w:r>
          </w:p>
        </w:tc>
        <w:tc>
          <w:tcPr>
            <w:tcW w:type="dxa" w:w="3173"/>
          </w:tcPr>
          <w:p>
            <w:pPr>
              <w:spacing w:after="60"/>
            </w:pPr>
            <w:r/>
            <w:r>
              <w:rPr>
                <w:sz w:val="19"/>
              </w:rPr>
              <w:t xml:space="preserve">Delegado que realiza la visita → </w:t>
            </w:r>
            <w:r>
              <w:rPr>
                <w:rFonts w:ascii="Consolas" w:hAnsi="Consolas"/>
                <w:sz w:val="18"/>
              </w:rPr>
              <w:t>maestro_delegados.csv</w:t>
            </w:r>
          </w:p>
        </w:tc>
      </w:tr>
      <w:tr>
        <w:tc>
          <w:tcPr>
            <w:tcW w:type="dxa" w:w="3173"/>
          </w:tcPr>
          <w:p>
            <w:pPr>
              <w:spacing w:after="60"/>
            </w:pPr>
            <w:r/>
            <w:r>
              <w:rPr>
                <w:rFonts w:ascii="Consolas" w:hAnsi="Consolas"/>
                <w:sz w:val="18"/>
              </w:rPr>
              <w:t>id_medico</w:t>
            </w:r>
          </w:p>
        </w:tc>
        <w:tc>
          <w:tcPr>
            <w:tcW w:type="dxa" w:w="3173"/>
          </w:tcPr>
          <w:p>
            <w:pPr>
              <w:spacing w:after="60"/>
            </w:pPr>
            <w:r/>
            <w:r>
              <w:rPr>
                <w:sz w:val="19"/>
              </w:rPr>
              <w:t>texto</w:t>
            </w:r>
          </w:p>
        </w:tc>
        <w:tc>
          <w:tcPr>
            <w:tcW w:type="dxa" w:w="3173"/>
          </w:tcPr>
          <w:p>
            <w:pPr>
              <w:spacing w:after="60"/>
            </w:pPr>
            <w:r/>
            <w:r>
              <w:rPr>
                <w:sz w:val="19"/>
              </w:rPr>
              <w:t xml:space="preserve">Médico visitado → </w:t>
            </w:r>
            <w:r>
              <w:rPr>
                <w:rFonts w:ascii="Consolas" w:hAnsi="Consolas"/>
                <w:sz w:val="18"/>
              </w:rPr>
              <w:t>maestro_medicos.csv</w:t>
            </w:r>
          </w:p>
        </w:tc>
      </w:tr>
      <w:tr>
        <w:tc>
          <w:tcPr>
            <w:tcW w:type="dxa" w:w="3173"/>
          </w:tcPr>
          <w:p>
            <w:pPr>
              <w:spacing w:after="60"/>
            </w:pPr>
            <w:r/>
            <w:r>
              <w:rPr>
                <w:rFonts w:ascii="Consolas" w:hAnsi="Consolas"/>
                <w:sz w:val="18"/>
              </w:rPr>
              <w:t>fecha</w:t>
            </w:r>
          </w:p>
        </w:tc>
        <w:tc>
          <w:tcPr>
            <w:tcW w:type="dxa" w:w="3173"/>
          </w:tcPr>
          <w:p>
            <w:pPr>
              <w:spacing w:after="60"/>
            </w:pPr>
            <w:r/>
            <w:r>
              <w:rPr>
                <w:sz w:val="19"/>
              </w:rPr>
              <w:t xml:space="preserve">fecha </w:t>
            </w:r>
            <w:r>
              <w:rPr>
                <w:rFonts w:ascii="Consolas" w:hAnsi="Consolas"/>
                <w:sz w:val="18"/>
              </w:rPr>
              <w:t>YYYY-MM-DD</w:t>
            </w:r>
          </w:p>
        </w:tc>
        <w:tc>
          <w:tcPr>
            <w:tcW w:type="dxa" w:w="3173"/>
          </w:tcPr>
          <w:p>
            <w:pPr>
              <w:spacing w:after="60"/>
            </w:pPr>
            <w:r/>
            <w:r>
              <w:rPr>
                <w:sz w:val="19"/>
              </w:rPr>
              <w:t>Fecha de la visita</w:t>
            </w:r>
          </w:p>
        </w:tc>
      </w:tr>
    </w:tbl>
    <w:p>
      <w:pPr>
        <w:spacing w:after="80"/>
      </w:pPr>
    </w:p>
    <w:p>
      <w:pPr>
        <w:spacing w:after="40"/>
        <w:pBdr>
          <w:bottom w:val="single" w:sz="6" w:space="1" w:color="D5DAE6"/>
        </w:pBdr>
      </w:pPr>
    </w:p>
    <w:p>
      <w:pPr>
        <w:pStyle w:val="Heading2"/>
      </w:pPr>
      <w:r>
        <w:rPr>
          <w:rFonts w:ascii="Consolas" w:hAnsi="Consolas"/>
          <w:b/>
          <w:color w:val="1B192D"/>
          <w:sz w:val="28"/>
        </w:rPr>
        <w:t>prescripciones.csv</w:t>
      </w:r>
      <w:r>
        <w:rPr>
          <w:b/>
          <w:color w:val="1B192D"/>
          <w:sz w:val="28"/>
        </w:rPr>
        <w:t>, 48.000 filas</w:t>
      </w:r>
    </w:p>
    <w:p>
      <w:r>
        <w:t>Un registro por médico y mes. Todos los médicos tienen los 24 meses.</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0F5"/>
          </w:tcPr>
          <w:p>
            <w:pPr>
              <w:spacing w:after="60"/>
            </w:pPr>
            <w:r>
              <w:rPr>
                <w:b/>
              </w:rPr>
            </w:r>
            <w:r>
              <w:rPr>
                <w:b/>
                <w:sz w:val="19"/>
              </w:rPr>
              <w:t>Campo</w:t>
            </w:r>
          </w:p>
        </w:tc>
        <w:tc>
          <w:tcPr>
            <w:tcW w:type="dxa" w:w="3173"/>
            <w:shd w:val="clear" w:color="auto" w:fill="EEF0F5"/>
          </w:tcPr>
          <w:p>
            <w:pPr>
              <w:spacing w:after="60"/>
            </w:pPr>
            <w:r>
              <w:rPr>
                <w:b/>
              </w:rPr>
            </w:r>
            <w:r>
              <w:rPr>
                <w:b/>
                <w:sz w:val="19"/>
              </w:rPr>
              <w:t>Tipo</w:t>
            </w:r>
          </w:p>
        </w:tc>
        <w:tc>
          <w:tcPr>
            <w:tcW w:type="dxa" w:w="3173"/>
            <w:shd w:val="clear" w:color="auto" w:fill="EEF0F5"/>
          </w:tcPr>
          <w:p>
            <w:pPr>
              <w:spacing w:after="60"/>
            </w:pPr>
            <w:r>
              <w:rPr>
                <w:b/>
              </w:rPr>
            </w:r>
            <w:r>
              <w:rPr>
                <w:b/>
                <w:sz w:val="19"/>
              </w:rPr>
              <w:t>Descripción</w:t>
            </w:r>
          </w:p>
        </w:tc>
      </w:tr>
      <w:tr>
        <w:tc>
          <w:tcPr>
            <w:tcW w:type="dxa" w:w="3173"/>
          </w:tcPr>
          <w:p>
            <w:pPr>
              <w:spacing w:after="60"/>
            </w:pPr>
            <w:r/>
            <w:r>
              <w:rPr>
                <w:rFonts w:ascii="Consolas" w:hAnsi="Consolas"/>
                <w:sz w:val="18"/>
              </w:rPr>
              <w:t>id_medico</w:t>
            </w:r>
          </w:p>
        </w:tc>
        <w:tc>
          <w:tcPr>
            <w:tcW w:type="dxa" w:w="3173"/>
          </w:tcPr>
          <w:p>
            <w:pPr>
              <w:spacing w:after="60"/>
            </w:pPr>
            <w:r/>
            <w:r>
              <w:rPr>
                <w:sz w:val="19"/>
              </w:rPr>
              <w:t>texto</w:t>
            </w:r>
          </w:p>
        </w:tc>
        <w:tc>
          <w:tcPr>
            <w:tcW w:type="dxa" w:w="3173"/>
          </w:tcPr>
          <w:p>
            <w:pPr>
              <w:spacing w:after="60"/>
            </w:pPr>
            <w:r/>
            <w:r>
              <w:rPr>
                <w:sz w:val="19"/>
              </w:rPr>
              <w:t xml:space="preserve">→ </w:t>
            </w:r>
            <w:r>
              <w:rPr>
                <w:rFonts w:ascii="Consolas" w:hAnsi="Consolas"/>
                <w:sz w:val="18"/>
              </w:rPr>
              <w:t>maestro_medicos.csv</w:t>
            </w:r>
          </w:p>
        </w:tc>
      </w:tr>
      <w:tr>
        <w:tc>
          <w:tcPr>
            <w:tcW w:type="dxa" w:w="3173"/>
          </w:tcPr>
          <w:p>
            <w:pPr>
              <w:spacing w:after="60"/>
            </w:pPr>
            <w:r/>
            <w:r>
              <w:rPr>
                <w:rFonts w:ascii="Consolas" w:hAnsi="Consolas"/>
                <w:sz w:val="18"/>
              </w:rPr>
              <w:t>mes</w:t>
            </w:r>
          </w:p>
        </w:tc>
        <w:tc>
          <w:tcPr>
            <w:tcW w:type="dxa" w:w="3173"/>
          </w:tcPr>
          <w:p>
            <w:pPr>
              <w:spacing w:after="60"/>
            </w:pPr>
            <w:r/>
            <w:r>
              <w:rPr>
                <w:sz w:val="19"/>
              </w:rPr>
              <w:t xml:space="preserve">texto </w:t>
            </w:r>
            <w:r>
              <w:rPr>
                <w:rFonts w:ascii="Consolas" w:hAnsi="Consolas"/>
                <w:sz w:val="18"/>
              </w:rPr>
              <w:t>YYYY-MM</w:t>
            </w:r>
          </w:p>
        </w:tc>
        <w:tc>
          <w:tcPr>
            <w:tcW w:type="dxa" w:w="3173"/>
          </w:tcPr>
          <w:p>
            <w:pPr>
              <w:spacing w:after="60"/>
            </w:pPr>
            <w:r/>
            <w:r>
              <w:rPr>
                <w:sz w:val="19"/>
              </w:rPr>
              <w:t>Mes de prescripción</w:t>
            </w:r>
          </w:p>
        </w:tc>
      </w:tr>
      <w:tr>
        <w:tc>
          <w:tcPr>
            <w:tcW w:type="dxa" w:w="3173"/>
          </w:tcPr>
          <w:p>
            <w:pPr>
              <w:spacing w:after="60"/>
            </w:pPr>
            <w:r/>
            <w:r>
              <w:rPr>
                <w:rFonts w:ascii="Consolas" w:hAnsi="Consolas"/>
                <w:sz w:val="18"/>
              </w:rPr>
              <w:t>unidades_categoria</w:t>
            </w:r>
          </w:p>
        </w:tc>
        <w:tc>
          <w:tcPr>
            <w:tcW w:type="dxa" w:w="3173"/>
          </w:tcPr>
          <w:p>
            <w:pPr>
              <w:spacing w:after="60"/>
            </w:pPr>
            <w:r/>
            <w:r>
              <w:rPr>
                <w:sz w:val="19"/>
              </w:rPr>
              <w:t>entero</w:t>
            </w:r>
          </w:p>
        </w:tc>
        <w:tc>
          <w:tcPr>
            <w:tcW w:type="dxa" w:w="3173"/>
          </w:tcPr>
          <w:p>
            <w:pPr>
              <w:spacing w:after="60"/>
            </w:pPr>
            <w:r/>
            <w:r>
              <w:rPr>
                <w:sz w:val="19"/>
              </w:rPr>
              <w:t xml:space="preserve">Unidades prescritas por el médico de </w:t>
            </w:r>
            <w:r>
              <w:rPr>
                <w:b/>
                <w:sz w:val="19"/>
              </w:rPr>
              <w:t>toda la categoría terapéutica</w:t>
            </w:r>
            <w:r>
              <w:rPr>
                <w:sz w:val="19"/>
              </w:rPr>
              <w:t>, incluyendo competidores. Fuente: panel de mercado</w:t>
            </w:r>
          </w:p>
        </w:tc>
      </w:tr>
      <w:tr>
        <w:tc>
          <w:tcPr>
            <w:tcW w:type="dxa" w:w="3173"/>
          </w:tcPr>
          <w:p>
            <w:pPr>
              <w:spacing w:after="60"/>
            </w:pPr>
            <w:r/>
            <w:r>
              <w:rPr>
                <w:rFonts w:ascii="Consolas" w:hAnsi="Consolas"/>
                <w:sz w:val="18"/>
              </w:rPr>
              <w:t>unidades_producto</w:t>
            </w:r>
          </w:p>
        </w:tc>
        <w:tc>
          <w:tcPr>
            <w:tcW w:type="dxa" w:w="3173"/>
          </w:tcPr>
          <w:p>
            <w:pPr>
              <w:spacing w:after="60"/>
            </w:pPr>
            <w:r/>
            <w:r>
              <w:rPr>
                <w:sz w:val="19"/>
              </w:rPr>
              <w:t>entero</w:t>
            </w:r>
          </w:p>
        </w:tc>
        <w:tc>
          <w:tcPr>
            <w:tcW w:type="dxa" w:w="3173"/>
          </w:tcPr>
          <w:p>
            <w:pPr>
              <w:spacing w:after="60"/>
            </w:pPr>
            <w:r/>
            <w:r>
              <w:rPr>
                <w:sz w:val="19"/>
              </w:rPr>
              <w:t xml:space="preserve">Unidades prescritas de </w:t>
            </w:r>
            <w:r>
              <w:rPr>
                <w:b/>
                <w:sz w:val="19"/>
              </w:rPr>
              <w:t>nuestro producto</w:t>
            </w:r>
            <w:r>
              <w:rPr>
                <w:sz w:val="19"/>
              </w:rPr>
              <w:t>. Subconjunto de la anterior</w:t>
            </w:r>
          </w:p>
        </w:tc>
      </w:tr>
    </w:tbl>
    <w:p>
      <w:pPr>
        <w:spacing w:after="80"/>
      </w:pPr>
    </w:p>
    <w:p>
      <w:pPr>
        <w:pStyle w:val="IntenseQuote"/>
      </w:pPr>
      <w:r>
        <w:t xml:space="preserve">La cuota de mercado del médico se calcula como </w:t>
      </w:r>
      <w:r>
        <w:rPr>
          <w:rFonts w:ascii="Consolas" w:hAnsi="Consolas"/>
          <w:sz w:val="20"/>
        </w:rPr>
        <w:t>unidades_producto / unidades_categoria</w:t>
      </w:r>
      <w:r>
        <w:t>.</w:t>
      </w:r>
    </w:p>
    <w:p>
      <w:pPr>
        <w:spacing w:after="40"/>
        <w:pBdr>
          <w:bottom w:val="single" w:sz="6" w:space="1" w:color="D5DAE6"/>
        </w:pBdr>
      </w:pPr>
    </w:p>
    <w:p>
      <w:pPr>
        <w:pStyle w:val="Heading2"/>
      </w:pPr>
      <w:r>
        <w:rPr>
          <w:rFonts w:ascii="Consolas" w:hAnsi="Consolas"/>
          <w:b/>
          <w:color w:val="1B192D"/>
          <w:sz w:val="28"/>
        </w:rPr>
        <w:t>maestro_medicos.csv</w:t>
      </w:r>
      <w:r>
        <w:rPr>
          <w:b/>
          <w:color w:val="1B192D"/>
          <w:sz w:val="28"/>
        </w:rPr>
        <w:t>, 2.000 filas</w:t>
      </w:r>
    </w:p>
    <w:p>
      <w:r>
        <w:t>Un registro por médico del universo objetivo.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0F5"/>
          </w:tcPr>
          <w:p>
            <w:pPr>
              <w:spacing w:after="60"/>
            </w:pPr>
            <w:r>
              <w:rPr>
                <w:b/>
              </w:rPr>
            </w:r>
            <w:r>
              <w:rPr>
                <w:b/>
                <w:sz w:val="19"/>
              </w:rPr>
              <w:t>Campo</w:t>
            </w:r>
          </w:p>
        </w:tc>
        <w:tc>
          <w:tcPr>
            <w:tcW w:type="dxa" w:w="3173"/>
            <w:shd w:val="clear" w:color="auto" w:fill="EEF0F5"/>
          </w:tcPr>
          <w:p>
            <w:pPr>
              <w:spacing w:after="60"/>
            </w:pPr>
            <w:r>
              <w:rPr>
                <w:b/>
              </w:rPr>
            </w:r>
            <w:r>
              <w:rPr>
                <w:b/>
                <w:sz w:val="19"/>
              </w:rPr>
              <w:t>Tipo</w:t>
            </w:r>
          </w:p>
        </w:tc>
        <w:tc>
          <w:tcPr>
            <w:tcW w:type="dxa" w:w="3173"/>
            <w:shd w:val="clear" w:color="auto" w:fill="EEF0F5"/>
          </w:tcPr>
          <w:p>
            <w:pPr>
              <w:spacing w:after="60"/>
            </w:pPr>
            <w:r>
              <w:rPr>
                <w:b/>
              </w:rPr>
            </w:r>
            <w:r>
              <w:rPr>
                <w:b/>
                <w:sz w:val="19"/>
              </w:rPr>
              <w:t>Descripción</w:t>
            </w:r>
          </w:p>
        </w:tc>
      </w:tr>
      <w:tr>
        <w:tc>
          <w:tcPr>
            <w:tcW w:type="dxa" w:w="3173"/>
          </w:tcPr>
          <w:p>
            <w:pPr>
              <w:spacing w:after="60"/>
            </w:pPr>
            <w:r/>
            <w:r>
              <w:rPr>
                <w:rFonts w:ascii="Consolas" w:hAnsi="Consolas"/>
                <w:sz w:val="18"/>
              </w:rPr>
              <w:t>id_medico</w:t>
            </w:r>
          </w:p>
        </w:tc>
        <w:tc>
          <w:tcPr>
            <w:tcW w:type="dxa" w:w="3173"/>
          </w:tcPr>
          <w:p>
            <w:pPr>
              <w:spacing w:after="60"/>
            </w:pPr>
            <w:r/>
            <w:r>
              <w:rPr>
                <w:sz w:val="19"/>
              </w:rPr>
              <w:t>texto</w:t>
            </w:r>
          </w:p>
        </w:tc>
        <w:tc>
          <w:tcPr>
            <w:tcW w:type="dxa" w:w="3173"/>
          </w:tcPr>
          <w:p>
            <w:pPr>
              <w:spacing w:after="60"/>
            </w:pPr>
            <w:r/>
            <w:r>
              <w:rPr>
                <w:sz w:val="19"/>
              </w:rPr>
              <w:t>Identificador único</w:t>
            </w:r>
          </w:p>
        </w:tc>
      </w:tr>
      <w:tr>
        <w:tc>
          <w:tcPr>
            <w:tcW w:type="dxa" w:w="3173"/>
          </w:tcPr>
          <w:p>
            <w:pPr>
              <w:spacing w:after="60"/>
            </w:pPr>
            <w:r/>
            <w:r>
              <w:rPr>
                <w:rFonts w:ascii="Consolas" w:hAnsi="Consolas"/>
                <w:sz w:val="18"/>
              </w:rPr>
              <w:t>segmento_potencial</w:t>
            </w:r>
          </w:p>
        </w:tc>
        <w:tc>
          <w:tcPr>
            <w:tcW w:type="dxa" w:w="3173"/>
          </w:tcPr>
          <w:p>
            <w:pPr>
              <w:spacing w:after="60"/>
            </w:pPr>
            <w:r/>
            <w:r>
              <w:rPr>
                <w:sz w:val="19"/>
              </w:rPr>
              <w:t>texto</w:t>
            </w:r>
          </w:p>
        </w:tc>
        <w:tc>
          <w:tcPr>
            <w:tcW w:type="dxa" w:w="3173"/>
          </w:tcPr>
          <w:p>
            <w:pPr>
              <w:spacing w:after="60"/>
            </w:pPr>
            <w:r/>
            <w:r>
              <w:rPr>
                <w:rFonts w:ascii="Consolas" w:hAnsi="Consolas"/>
                <w:sz w:val="18"/>
              </w:rPr>
              <w:t>A</w:t>
            </w:r>
            <w:r>
              <w:rPr>
                <w:sz w:val="19"/>
              </w:rPr>
              <w:t xml:space="preserve"> (alto), </w:t>
            </w:r>
            <w:r>
              <w:rPr>
                <w:rFonts w:ascii="Consolas" w:hAnsi="Consolas"/>
                <w:sz w:val="18"/>
              </w:rPr>
              <w:t>B</w:t>
            </w:r>
            <w:r>
              <w:rPr>
                <w:sz w:val="19"/>
              </w:rPr>
              <w:t xml:space="preserve"> (medio) o </w:t>
            </w:r>
            <w:r>
              <w:rPr>
                <w:rFonts w:ascii="Consolas" w:hAnsi="Consolas"/>
                <w:sz w:val="18"/>
              </w:rPr>
              <w:t>C</w:t>
            </w:r>
            <w:r>
              <w:rPr>
                <w:sz w:val="19"/>
              </w:rPr>
              <w:t xml:space="preserve"> (bajo). Clasificación por </w:t>
            </w:r>
            <w:r>
              <w:rPr>
                <w:b/>
                <w:sz w:val="19"/>
              </w:rPr>
              <w:t>potencial de prescripción</w:t>
            </w:r>
            <w:r>
              <w:rPr>
                <w:sz w:val="19"/>
              </w:rPr>
              <w:t>, revisada anualmente por Marketing</w:t>
            </w:r>
          </w:p>
        </w:tc>
      </w:tr>
      <w:tr>
        <w:tc>
          <w:tcPr>
            <w:tcW w:type="dxa" w:w="3173"/>
          </w:tcPr>
          <w:p>
            <w:pPr>
              <w:spacing w:after="60"/>
            </w:pPr>
            <w:r/>
            <w:r>
              <w:rPr>
                <w:rFonts w:ascii="Consolas" w:hAnsi="Consolas"/>
                <w:sz w:val="18"/>
              </w:rPr>
              <w:t>region</w:t>
            </w:r>
          </w:p>
        </w:tc>
        <w:tc>
          <w:tcPr>
            <w:tcW w:type="dxa" w:w="3173"/>
          </w:tcPr>
          <w:p>
            <w:pPr>
              <w:spacing w:after="60"/>
            </w:pPr>
            <w:r/>
            <w:r>
              <w:rPr>
                <w:sz w:val="19"/>
              </w:rPr>
              <w:t>texto</w:t>
            </w:r>
          </w:p>
        </w:tc>
        <w:tc>
          <w:tcPr>
            <w:tcW w:type="dxa" w:w="3173"/>
          </w:tcPr>
          <w:p>
            <w:pPr>
              <w:spacing w:after="60"/>
            </w:pPr>
            <w:r/>
            <w:r>
              <w:rPr>
                <w:rFonts w:ascii="Consolas" w:hAnsi="Consolas"/>
                <w:sz w:val="18"/>
              </w:rPr>
              <w:t>Noreste</w:t>
            </w:r>
            <w:r>
              <w:rPr>
                <w:sz w:val="19"/>
              </w:rPr>
              <w:t xml:space="preserve">, </w:t>
            </w:r>
            <w:r>
              <w:rPr>
                <w:rFonts w:ascii="Consolas" w:hAnsi="Consolas"/>
                <w:sz w:val="18"/>
              </w:rPr>
              <w:t>Noroeste</w:t>
            </w:r>
            <w:r>
              <w:rPr>
                <w:sz w:val="19"/>
              </w:rPr>
              <w:t xml:space="preserve">, </w:t>
            </w:r>
            <w:r>
              <w:rPr>
                <w:rFonts w:ascii="Consolas" w:hAnsi="Consolas"/>
                <w:sz w:val="18"/>
              </w:rPr>
              <w:t>Centro</w:t>
            </w:r>
            <w:r>
              <w:rPr>
                <w:sz w:val="19"/>
              </w:rPr>
              <w:t xml:space="preserve">, </w:t>
            </w:r>
            <w:r>
              <w:rPr>
                <w:rFonts w:ascii="Consolas" w:hAnsi="Consolas"/>
                <w:sz w:val="18"/>
              </w:rPr>
              <w:t>Levante</w:t>
            </w:r>
            <w:r>
              <w:rPr>
                <w:sz w:val="19"/>
              </w:rPr>
              <w:t xml:space="preserve">, </w:t>
            </w:r>
            <w:r>
              <w:rPr>
                <w:rFonts w:ascii="Consolas" w:hAnsi="Consolas"/>
                <w:sz w:val="18"/>
              </w:rPr>
              <w:t>Sur</w:t>
            </w:r>
          </w:p>
        </w:tc>
      </w:tr>
      <w:tr>
        <w:tc>
          <w:tcPr>
            <w:tcW w:type="dxa" w:w="3173"/>
          </w:tcPr>
          <w:p>
            <w:pPr>
              <w:spacing w:after="60"/>
            </w:pPr>
            <w:r/>
            <w:r>
              <w:rPr>
                <w:rFonts w:ascii="Consolas" w:hAnsi="Consolas"/>
                <w:sz w:val="18"/>
              </w:rPr>
              <w:t>brick</w:t>
            </w:r>
          </w:p>
        </w:tc>
        <w:tc>
          <w:tcPr>
            <w:tcW w:type="dxa" w:w="3173"/>
          </w:tcPr>
          <w:p>
            <w:pPr>
              <w:spacing w:after="60"/>
            </w:pPr>
            <w:r/>
            <w:r>
              <w:rPr>
                <w:sz w:val="19"/>
              </w:rPr>
              <w:t>texto</w:t>
            </w:r>
          </w:p>
        </w:tc>
        <w:tc>
          <w:tcPr>
            <w:tcW w:type="dxa" w:w="3173"/>
          </w:tcPr>
          <w:p>
            <w:pPr>
              <w:spacing w:after="60"/>
            </w:pPr>
            <w:r/>
            <w:r>
              <w:rPr>
                <w:sz w:val="19"/>
              </w:rPr>
              <w:t>Unidad territorial mínima. Hay 120 bricks en el universo</w:t>
            </w:r>
          </w:p>
        </w:tc>
      </w:tr>
      <w:tr>
        <w:tc>
          <w:tcPr>
            <w:tcW w:type="dxa" w:w="3173"/>
          </w:tcPr>
          <w:p>
            <w:pPr>
              <w:spacing w:after="60"/>
            </w:pPr>
            <w:r/>
            <w:r>
              <w:rPr>
                <w:rFonts w:ascii="Consolas" w:hAnsi="Consolas"/>
                <w:sz w:val="18"/>
              </w:rPr>
              <w:t>id_delegado_asignado</w:t>
            </w:r>
          </w:p>
        </w:tc>
        <w:tc>
          <w:tcPr>
            <w:tcW w:type="dxa" w:w="3173"/>
          </w:tcPr>
          <w:p>
            <w:pPr>
              <w:spacing w:after="60"/>
            </w:pPr>
            <w:r/>
            <w:r>
              <w:rPr>
                <w:sz w:val="19"/>
              </w:rPr>
              <w:t>texto</w:t>
            </w:r>
          </w:p>
        </w:tc>
        <w:tc>
          <w:tcPr>
            <w:tcW w:type="dxa" w:w="3173"/>
          </w:tcPr>
          <w:p>
            <w:pPr>
              <w:spacing w:after="60"/>
            </w:pPr>
            <w:r/>
            <w:r>
              <w:rPr>
                <w:sz w:val="19"/>
              </w:rPr>
              <w:t xml:space="preserve">Delegado responsable de la cartera → </w:t>
            </w:r>
            <w:r>
              <w:rPr>
                <w:rFonts w:ascii="Consolas" w:hAnsi="Consolas"/>
                <w:sz w:val="18"/>
              </w:rPr>
              <w:t>maestro_delegados.csv</w:t>
            </w:r>
          </w:p>
        </w:tc>
      </w:tr>
    </w:tbl>
    <w:p>
      <w:pPr>
        <w:spacing w:after="80"/>
      </w:pPr>
    </w:p>
    <w:p>
      <w:pPr>
        <w:spacing w:after="40"/>
        <w:pBdr>
          <w:bottom w:val="single" w:sz="6" w:space="1" w:color="D5DAE6"/>
        </w:pBdr>
      </w:pPr>
    </w:p>
    <w:p>
      <w:pPr>
        <w:pStyle w:val="Heading2"/>
      </w:pPr>
      <w:r>
        <w:rPr>
          <w:rFonts w:ascii="Consolas" w:hAnsi="Consolas"/>
          <w:b/>
          <w:color w:val="1B192D"/>
          <w:sz w:val="28"/>
        </w:rPr>
        <w:t>maestro_delegados.csv</w:t>
      </w:r>
      <w:r>
        <w:rPr>
          <w:b/>
          <w:color w:val="1B192D"/>
          <w:sz w:val="28"/>
        </w:rPr>
        <w:t>, 50 filas</w:t>
      </w:r>
    </w:p>
    <w:p>
      <w:r>
        <w:t>Un registro por delegado.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EEF0F5"/>
          </w:tcPr>
          <w:p>
            <w:pPr>
              <w:spacing w:after="60"/>
            </w:pPr>
            <w:r>
              <w:rPr>
                <w:b/>
              </w:rPr>
            </w:r>
            <w:r>
              <w:rPr>
                <w:b/>
                <w:sz w:val="19"/>
              </w:rPr>
              <w:t>Campo</w:t>
            </w:r>
          </w:p>
        </w:tc>
        <w:tc>
          <w:tcPr>
            <w:tcW w:type="dxa" w:w="3173"/>
            <w:shd w:val="clear" w:color="auto" w:fill="EEF0F5"/>
          </w:tcPr>
          <w:p>
            <w:pPr>
              <w:spacing w:after="60"/>
            </w:pPr>
            <w:r>
              <w:rPr>
                <w:b/>
              </w:rPr>
            </w:r>
            <w:r>
              <w:rPr>
                <w:b/>
                <w:sz w:val="19"/>
              </w:rPr>
              <w:t>Tipo</w:t>
            </w:r>
          </w:p>
        </w:tc>
        <w:tc>
          <w:tcPr>
            <w:tcW w:type="dxa" w:w="3173"/>
            <w:shd w:val="clear" w:color="auto" w:fill="EEF0F5"/>
          </w:tcPr>
          <w:p>
            <w:pPr>
              <w:spacing w:after="60"/>
            </w:pPr>
            <w:r>
              <w:rPr>
                <w:b/>
              </w:rPr>
            </w:r>
            <w:r>
              <w:rPr>
                <w:b/>
                <w:sz w:val="19"/>
              </w:rPr>
              <w:t>Descripción</w:t>
            </w:r>
          </w:p>
        </w:tc>
      </w:tr>
      <w:tr>
        <w:tc>
          <w:tcPr>
            <w:tcW w:type="dxa" w:w="3173"/>
          </w:tcPr>
          <w:p>
            <w:pPr>
              <w:spacing w:after="60"/>
            </w:pPr>
            <w:r/>
            <w:r>
              <w:rPr>
                <w:rFonts w:ascii="Consolas" w:hAnsi="Consolas"/>
                <w:sz w:val="18"/>
              </w:rPr>
              <w:t>id_delegado</w:t>
            </w:r>
          </w:p>
        </w:tc>
        <w:tc>
          <w:tcPr>
            <w:tcW w:type="dxa" w:w="3173"/>
          </w:tcPr>
          <w:p>
            <w:pPr>
              <w:spacing w:after="60"/>
            </w:pPr>
            <w:r/>
            <w:r>
              <w:rPr>
                <w:sz w:val="19"/>
              </w:rPr>
              <w:t>texto</w:t>
            </w:r>
          </w:p>
        </w:tc>
        <w:tc>
          <w:tcPr>
            <w:tcW w:type="dxa" w:w="3173"/>
          </w:tcPr>
          <w:p>
            <w:pPr>
              <w:spacing w:after="60"/>
            </w:pPr>
            <w:r/>
            <w:r>
              <w:rPr>
                <w:sz w:val="19"/>
              </w:rPr>
              <w:t>Identificador único</w:t>
            </w:r>
          </w:p>
        </w:tc>
      </w:tr>
      <w:tr>
        <w:tc>
          <w:tcPr>
            <w:tcW w:type="dxa" w:w="3173"/>
          </w:tcPr>
          <w:p>
            <w:pPr>
              <w:spacing w:after="60"/>
            </w:pPr>
            <w:r/>
            <w:r>
              <w:rPr>
                <w:rFonts w:ascii="Consolas" w:hAnsi="Consolas"/>
                <w:sz w:val="18"/>
              </w:rPr>
              <w:t>region</w:t>
            </w:r>
          </w:p>
        </w:tc>
        <w:tc>
          <w:tcPr>
            <w:tcW w:type="dxa" w:w="3173"/>
          </w:tcPr>
          <w:p>
            <w:pPr>
              <w:spacing w:after="60"/>
            </w:pPr>
            <w:r/>
            <w:r>
              <w:rPr>
                <w:sz w:val="19"/>
              </w:rPr>
              <w:t>texto</w:t>
            </w:r>
          </w:p>
        </w:tc>
        <w:tc>
          <w:tcPr>
            <w:tcW w:type="dxa" w:w="3173"/>
          </w:tcPr>
          <w:p>
            <w:pPr>
              <w:spacing w:after="60"/>
            </w:pPr>
            <w:r/>
            <w:r>
              <w:rPr>
                <w:sz w:val="19"/>
              </w:rPr>
              <w:t>Región comercial asignada</w:t>
            </w:r>
          </w:p>
        </w:tc>
      </w:tr>
      <w:tr>
        <w:tc>
          <w:tcPr>
            <w:tcW w:type="dxa" w:w="3173"/>
          </w:tcPr>
          <w:p>
            <w:pPr>
              <w:spacing w:after="60"/>
            </w:pPr>
            <w:r/>
            <w:r>
              <w:rPr>
                <w:rFonts w:ascii="Consolas" w:hAnsi="Consolas"/>
                <w:sz w:val="18"/>
              </w:rPr>
              <w:t>antiguedad_anos</w:t>
            </w:r>
          </w:p>
        </w:tc>
        <w:tc>
          <w:tcPr>
            <w:tcW w:type="dxa" w:w="3173"/>
          </w:tcPr>
          <w:p>
            <w:pPr>
              <w:spacing w:after="60"/>
            </w:pPr>
            <w:r/>
            <w:r>
              <w:rPr>
                <w:sz w:val="19"/>
              </w:rPr>
              <w:t>entero</w:t>
            </w:r>
          </w:p>
        </w:tc>
        <w:tc>
          <w:tcPr>
            <w:tcW w:type="dxa" w:w="3173"/>
          </w:tcPr>
          <w:p>
            <w:pPr>
              <w:spacing w:after="60"/>
            </w:pPr>
            <w:r/>
            <w:r>
              <w:rPr>
                <w:sz w:val="19"/>
              </w:rPr>
              <w:t>Años en la compañía</w:t>
            </w:r>
          </w:p>
        </w:tc>
      </w:tr>
      <w:tr>
        <w:tc>
          <w:tcPr>
            <w:tcW w:type="dxa" w:w="3173"/>
          </w:tcPr>
          <w:p>
            <w:pPr>
              <w:spacing w:after="60"/>
            </w:pPr>
            <w:r/>
            <w:r>
              <w:rPr>
                <w:rFonts w:ascii="Consolas" w:hAnsi="Consolas"/>
                <w:sz w:val="18"/>
              </w:rPr>
              <w:t>coste_visita_eur</w:t>
            </w:r>
          </w:p>
        </w:tc>
        <w:tc>
          <w:tcPr>
            <w:tcW w:type="dxa" w:w="3173"/>
          </w:tcPr>
          <w:p>
            <w:pPr>
              <w:spacing w:after="60"/>
            </w:pPr>
            <w:r/>
            <w:r>
              <w:rPr>
                <w:sz w:val="19"/>
              </w:rPr>
              <w:t>decimal</w:t>
            </w:r>
          </w:p>
        </w:tc>
        <w:tc>
          <w:tcPr>
            <w:tcW w:type="dxa" w:w="3173"/>
          </w:tcPr>
          <w:p>
            <w:pPr>
              <w:spacing w:after="60"/>
            </w:pPr>
            <w:r/>
            <w:r>
              <w:rPr>
                <w:sz w:val="19"/>
              </w:rPr>
              <w:t>Coste totalmente cargado de una visita: tiempo, desplazamiento y materiales. Media de 72 €</w:t>
            </w:r>
          </w:p>
        </w:tc>
      </w:tr>
    </w:tbl>
    <w:p>
      <w:pPr>
        <w:spacing w:after="80"/>
      </w:pPr>
    </w:p>
    <w:p>
      <w:pPr>
        <w:spacing w:after="40"/>
        <w:pBdr>
          <w:bottom w:val="single" w:sz="6" w:space="1" w:color="D5DAE6"/>
        </w:pBdr>
      </w:pPr>
    </w:p>
    <w:p>
      <w:pPr>
        <w:pStyle w:val="Heading2"/>
      </w:pPr>
      <w:r>
        <w:rPr>
          <w:b/>
          <w:color w:val="1B192D"/>
          <w:sz w:val="28"/>
        </w:rPr>
        <w:t>Notas de uso</w:t>
      </w:r>
    </w:p>
    <w:p>
      <w:pPr>
        <w:pStyle w:val="ListBullet"/>
      </w:pPr>
      <w:r>
        <w:rPr>
          <w:b/>
        </w:rPr>
        <w:t>Relación entre tablas:</w:t>
      </w:r>
      <w:r>
        <w:t xml:space="preserve"> </w:t>
      </w:r>
      <w:r>
        <w:rPr>
          <w:rFonts w:ascii="Consolas" w:hAnsi="Consolas"/>
          <w:sz w:val="20"/>
        </w:rPr>
        <w:t>id_medico</w:t>
      </w:r>
      <w:r>
        <w:t xml:space="preserve"> e </w:t>
      </w:r>
      <w:r>
        <w:rPr>
          <w:rFonts w:ascii="Consolas" w:hAnsi="Consolas"/>
          <w:sz w:val="20"/>
        </w:rPr>
        <w:t>id_delegado</w:t>
      </w:r>
      <w:r>
        <w:t xml:space="preserve"> son las claves de unión. La integridad referencial está garantizada.</w:t>
      </w:r>
    </w:p>
    <w:p>
      <w:pPr>
        <w:pStyle w:val="ListBullet"/>
      </w:pPr>
      <w:r>
        <w:rPr>
          <w:b/>
        </w:rPr>
        <w:t>Precio de venta:</w:t>
      </w:r>
      <w:r>
        <w:t xml:space="preserve"> 18 €/unidad, constante en todo el periodo.</w:t>
      </w:r>
    </w:p>
    <w:p>
      <w:pPr>
        <w:pStyle w:val="ListBullet"/>
      </w:pPr>
      <w:r>
        <w:rPr>
          <w:b/>
        </w:rPr>
        <w:t>Capacidad del equipo:</w:t>
      </w:r>
      <w:r>
        <w:t xml:space="preserve"> la plantilla de 50 delegados es fija. Cualquier recomendación debe asumir que el número total de visitas disponibles no aumenta.</w:t>
      </w:r>
    </w:p>
    <w:p>
      <w:pPr>
        <w:pStyle w:val="ListBullet"/>
      </w:pPr>
      <w:r>
        <w:t>Los datos se entregan tal cual salieron del sistema.</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B19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B192D"/>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B192D"/>
      <w:sz w:val="28"/>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2D77F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SDG - Business Insights - Fuerza Comercial en Pharma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