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An Information-Theoretic Reading of the List Type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A Pearl</w:t>
      </w:r>
    </w:p>
    <w:p>
      <w:pPr>
        <w:spacing w:before="0"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List Type as a Geometric Series</w:t>
      </w:r>
    </w:p>
    <w:p>
      <w:pPr>
        <w:spacing w:before="0" w:after="240"/>
        <w:jc w:val="both"/>
      </w:pPr>
      <w:r>
        <w:rPr>
          <w:rFonts w:ascii="Georgia" w:cs="Georgia" w:eastAsia="Georgia" w:hAnsi="Georgia"/>
        </w:rPr>
        <w:t xml:space="preserve">A list over a type A may be defined by the union of all finite products: List(A) = 1 + A + A² + A³ + ⋯. This is a geometric series in A, and by the standard identity for such series, it contracts to the closed form: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List(A)  =  1 / (1 − A)</w:t>
      </w:r>
    </w:p>
    <w:p>
      <w:pPr>
        <w:spacing w:before="120" w:after="360"/>
        <w:jc w:val="both"/>
      </w:pPr>
      <w:r>
        <w:rPr>
          <w:rFonts w:ascii="Georgia" w:cs="Georgia" w:eastAsia="Georgia" w:hAnsi="Georgia"/>
        </w:rPr>
        <w:t xml:space="preserve">This is not merely a formal trick. Each step of the equivalence carries meaning, and reading it carefully — attending to how each symbol is naturally pronounced — yields a small constellation of insights.</w:t>
      </w:r>
    </w:p>
    <w:p>
      <w:pPr>
        <w:spacing w:before="0"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Pronouncing the Operators</w:t>
      </w:r>
    </w:p>
    <w:p>
      <w:pPr>
        <w:spacing w:before="0" w:after="200"/>
        <w:jc w:val="both"/>
      </w:pPr>
      <w:r>
        <w:rPr>
          <w:rFonts w:ascii="Georgia" w:cs="Georgia" w:eastAsia="Georgia" w:hAnsi="Georgia"/>
        </w:rPr>
        <w:t xml:space="preserve">The operators of type algebra have natural readings. Addition (+) is “or”: a disjoint choice between alternatives. Multiplication (×) is “and”: the simultaneous holding of two things. Their respective identities follow: 0, the empty type, is “impossibly” — the choice that offers nothing; and 1, the unit type, is “trivially” — the conjunction that adds no information.</w:t>
      </w:r>
    </w:p>
    <w:p>
      <w:pPr>
        <w:spacing w:before="0" w:after="200"/>
        <w:jc w:val="both"/>
      </w:pPr>
      <w:r>
        <w:rPr>
          <w:rFonts w:ascii="Georgia" w:cs="Georgia" w:eastAsia="Georgia" w:hAnsi="Georgia"/>
        </w:rPr>
        <w:t xml:space="preserve">Inverses must invert. Division (/) is therefore “regardless of” or “ignoring differences in” — the dissolution of a simultaneous distinction (as in ℝ/ℤ: the reals, regardless of integer part). And subtraction (−) inverts disjunction: “without distinguishing” or “pretending indifference between”.</w:t>
      </w:r>
    </w:p>
    <w:p>
      <w:pPr>
        <w:spacing w:before="0" w:after="360"/>
        <w:jc w:val="both"/>
      </w:pPr>
      <w:r>
        <w:rPr>
          <w:rFonts w:ascii="Georgia" w:cs="Georgia" w:eastAsia="Georgia" w:hAnsi="Georgia"/>
          <w:i w:val="false"/>
          <w:iCs w:val="false"/>
        </w:rPr>
        <w:t xml:space="preserve">Under these readings, 1/(1−A) becomes: “the trivial, regardless of pretending-A-indistinguishable-from-the-trivial.” Equated to the series — “a list is nothing, or one thing, or two things, …” — the tautology crystallises: the whole is nothing but the iterated overcoming of its own lack.</w:t>
      </w:r>
    </w:p>
    <w:p>
      <w:pPr>
        <w:spacing w:before="0"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Radius of Convergence as a Logical Boundary</w:t>
      </w:r>
    </w:p>
    <w:p>
      <w:pPr>
        <w:spacing w:before="0" w:after="200"/>
        <w:jc w:val="both"/>
      </w:pPr>
      <w:r>
        <w:rPr>
          <w:rFonts w:ascii="Georgia" w:cs="Georgia" w:eastAsia="Georgia" w:hAnsi="Georgia"/>
        </w:rPr>
        <w:t xml:space="preserve">The geometric series converges only when |A| &lt; 1. This analytic condition is not imported from complex analysis by accident — it is the condition that A carry genuine information. To construct a random instance of a type is to perform a probabilistic event; |A| is therefore literally the probability of that event, constrained by construction to [0, 1].</w:t>
      </w:r>
    </w:p>
    <w:p>
      <w:pPr>
        <w:spacing w:before="0" w:after="200"/>
        <w:jc w:val="both"/>
      </w:pPr>
      <w:r>
        <w:rPr>
          <w:rFonts w:ascii="Georgia" w:cs="Georgia" w:eastAsia="Georgia" w:hAnsi="Georgia"/>
        </w:rPr>
        <w:t xml:space="preserve">The boundary cases are instructive. When |A| = 0, A is the empty type — “impossibly” — and List(A) = 1: there is exactly one list of impossible things, namely the empty list. Vacuous truth is well-behaved. When |A| = 1, A is the unit type — “trivially” — and the series diverges: List(1) = 1 + 1 + 1 + ⋯. A list of tautologies is not a list; it is an explosion of undifferentiated sameness.</w:t>
      </w:r>
    </w:p>
    <w:p>
      <w:pPr>
        <w:spacing w:before="0" w:after="200"/>
        <w:jc w:val="both"/>
      </w:pPr>
      <w:r>
        <w:rPr>
          <w:rFonts w:ascii="Georgia" w:cs="Georgia" w:eastAsia="Georgia" w:hAnsi="Georgia"/>
        </w:rPr>
        <w:t xml:space="preserve">Shannon makes this precise. The information content of an event of probability p is −log p. The convergence condition |A| &lt; 1 is therefore precisely −log|A| &gt; 0: A must carry positive information. The series — and with it the well-foundedness of the list type — converges if and only if each element says something.</w:t>
      </w:r>
    </w:p>
    <w:p>
      <w:pPr>
        <w:spacing w:before="0" w:after="480"/>
        <w:jc w:val="both"/>
      </w:pPr>
      <w:r>
        <w:rPr>
          <w:rFonts w:ascii="Georgia" w:cs="Georgia" w:eastAsia="Georgia" w:hAnsi="Georgia"/>
          <w:i/>
          <w:iCs/>
        </w:rPr>
        <w:t xml:space="preserve">The analytic boundary and the logical boundary coincide: the list construction is well-behaved precisely in the space between impossibility and triviality, between bot and top, between 0 and 1. The radius of convergence was always a logical condition dressed in analytic clothing. The mathematics knew before we did.</w:t>
      </w:r>
    </w:p>
    <w:p>
      <w:pPr>
        <w:spacing w:before="0" w:after="360"/>
        <w:jc w:val="center"/>
      </w:pPr>
      <w:r>
        <w:rPr>
          <w:rFonts w:ascii="Georgia" w:cs="Georgia" w:eastAsia="Georgia" w:hAnsi="Georgia"/>
          <w:color w:val="888888"/>
        </w:rPr>
        <w:t xml:space="preserve">—</w:t>
      </w:r>
    </w:p>
    <w:p>
      <w:pPr>
        <w:spacing w:before="0" w:after="0"/>
        <w:jc w:val="both"/>
      </w:pPr>
      <w:r>
        <w:rPr>
          <w:rFonts w:ascii="Georgia" w:cs="Georgia" w:eastAsia="Georgia" w:hAnsi="Georgia"/>
          <w:i/>
          <w:iCs/>
        </w:rPr>
        <w:t xml:space="preserve">That the same object — a humble list — simultaneously encodes a tautology about lack and overcoming, a probabilistic constraint on informativeness, and the logical gap between the impossible and the trivial, is not a coincidence. It is a small instance of the general fact that structure, once found, ramifies everywhere. All is metaphor; the metaphors are load-bearing.</w:t>
      </w:r>
    </w:p>
    <w:sectPr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2026-03-19T16:47:25.449Z</dcterms:created>
  <dcterms:modified xsi:type="dcterms:W3CDTF">2026-03-19T16:47:25.450Z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