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Consider the following theorem: a field with n elements exists if and only if n is a prime power, and in that case it is unique up to isomorphism. For n = 1, 2, 3, 4, 5, every value is either 1, a prime, or a prime power (specifically, 4 = 2²), and so the statement “every positive integer has exactly one field” is simply true — and provably so, since the proof that prime powers yield unique fields applies without exception. The first failure occurs at n = 6 = 2×3, which is neither prime nor a prime power, and for which no field exists.</w:t>
      </w:r>
    </w:p>
    <w:p>
      <w:pPr>
        <w:spacing w:after="200"/>
      </w:pPr>
      <w:r>
        <w:rPr>
          <w:rFonts w:ascii="Arial" w:cs="Arial" w:eastAsia="Arial" w:hAnsi="Arial"/>
          <w:sz w:val="24"/>
          <w:szCs w:val="24"/>
        </w:rPr>
        <w:t xml:space="preserve">In a universe where 5 is the largest integer, this statement is not merely consistent or universe-appropriate — it is a genuine theorem, with a genuine proof. The universe does not merely avoid the counterexample; it earns the result. And the result is a beautiful one: arithmetic and algebra are maximally uniform, every positive integer carrying a unique and well-defined field structure. This uniformity would propagate consequences throughout the universe, simplifying distinctions that in full arithmetic require careful handling.</w:t>
      </w:r>
    </w:p>
    <w:p>
      <w:pPr>
        <w:spacing w:after="200"/>
      </w:pPr>
      <w:r>
        <w:rPr>
          <w:rFonts w:ascii="Arial" w:cs="Arial" w:eastAsia="Arial" w:hAnsi="Arial"/>
          <w:sz w:val="24"/>
          <w:szCs w:val="24"/>
        </w:rPr>
        <w:t xml:space="preserve">This is the sense of “outwardness” the programme seeks to capture: a restricted universe does not merely exclude pathology, but positively satisfies richer and more uniform mathematics than any extension of it can. The phase transition at n=6 is exact and fully understood; the threshold is not conjectural but proved. This makes it a sharper and more instructive example than the Fermat case, where the threshold — if it exists — is unknown and possibly undecidable. The Fermat numbers are retained in Section 3.2 as a secondary illustration of a different kind of phase transition: one whose finite existence is plausible but unproved.</w:t>
      </w:r>
    </w:p>
    <w:p>
      <w:pPr>
        <w:spacing w:after="200"/>
      </w:pPr>
      <w:r>
        <w:rPr>
          <w:rFonts w:ascii="Arial" w:cs="Arial" w:eastAsia="Arial" w:hAnsi="Arial"/>
          <w:sz w:val="24"/>
          <w:szCs w:val="24"/>
        </w:rPr>
        <w:t xml:space="preserve">The deeper point is that the simplifying density of the small integers is real and nameable. Every integer up to 5 is a prime power (taking 1 as a degenerate case), and prime powers are precisely the integers with the richest and most uniform algebraic structure. The prime powers have density 1 in the integers up to 5, and the density falls immediately thereafter: 6 is the first failure. The small integers are not merely small — they are almost all prime powers, which is an extraordinary algebraic regularity that full arithmetic immediately destroys. The integers up to 5 form the unique initial segment in which every element is a prime power, and mathematics over this segment earns results — such as the unique-field theorem — that larger universes can only lose.</w:t>
      </w:r>
    </w:p>
    <w:p>
      <w:pPr>
        <w:spacing w:after="200"/>
      </w:pPr>
      <w:r>
        <w:rPr>
          <w:rFonts w:ascii="Arial" w:cs="Arial" w:eastAsia="Arial" w:hAnsi="Arial"/>
          <w:sz w:val="24"/>
          <w:szCs w:val="24"/>
        </w:rPr>
        <w:t xml:space="preserve">We cannot resist a closing observation, offered in the spirit of a heckle aimed at Wigner’s famous remarks on the unreasonable effectiveness of mathematics in the natural sciences. Wigner marvelled that mathematics — developed without regard for physical application — describes nature with uncanny precision. Here we note a complementary curiosity running in the opposite direction: humans have five digits on each hand, and five is precisely the largest integer below the threshold at which the prime-power regularity breaks down. Nature has equipped us, quite literally, with the exact cognitive primitive needed to perceive and count up to one of mathematics’ most structurally significant boundaries. It is, one might say, handy. Whether this is coincidence, anthropic selection, or evidence of something deeper is left as an exercise for the philosopher — but it chimes pleasingly with the observation in Section 10.2 that Miller’s and Dunbar’s numbers also situate human cognition and sociality at particular mathematical thresholds. Nature appears to have been rather generous in positioning its observers.</w:t>
      </w:r>
    </w:p>
    <w:p>
      <w:pPr>
        <w:pStyle w:val="Heading1"/>
      </w:pPr>
      <w:r>
        <w:t xml:space="preserve">3. Known Examples of Mathematical Phase Transitions</w:t>
      </w:r>
    </w:p>
    <w:p>
      <w:pPr>
        <w:spacing w:after="200"/>
      </w:pPr>
      <w:r>
        <w:rPr>
          <w:rFonts w:ascii="Arial" w:cs="Arial" w:eastAsia="Arial" w:hAnsi="Arial"/>
          <w:sz w:val="24"/>
          <w:szCs w:val="24"/>
        </w:rPr>
        <w:t xml:space="preserve">The following examples illustrate that mathematical phase transitions — abrupt qualitative changes in structure or tractability at identifiable thresholds — are a well-established and recurring phenomenon, not an artefact of any single domain. They range from transitions that can be pinned down exactly, to transitions known to be finite but not yet locatable, to transitions occurring at infinity in the sense of Section 1. The list is offered as illustration and invitation: an informed reader will recognise further examples from their own experience.</w:t>
      </w:r>
    </w:p>
    <w:p>
      <w:pPr>
        <w:pStyle w:val="Heading2"/>
      </w:pPr>
      <w:r>
        <w:t xml:space="preserve">3.1 The Cayley-Dickson Tower: Hurwitz and Beyond</w:t>
      </w:r>
    </w:p>
    <w:p>
      <w:pPr>
        <w:spacing w:after="200"/>
      </w:pPr>
      <w:r>
        <w:rPr>
          <w:rFonts w:ascii="Arial" w:cs="Arial" w:eastAsia="Arial" w:hAnsi="Arial"/>
          <w:sz w:val="24"/>
          <w:szCs w:val="24"/>
        </w:rPr>
        <w:t xml:space="preserve">The Cayley-Dickson doubling construction generates an infinite tower of algebras over ℝ, each of twice the dimension of the previous: ℝ, ℂ, ℍ, 𝕆 (the octonions), and then the sedenions, trigintaduonions, and so on indefinitely. At each step a property is lost: commutativity at ℂ, associativity at ℍ, alternativity at 𝕆, and zero-divisor-freeness at the sedenions. Hurwitz’s theorem identifies a phase transition in this tower with respect to one specific property: the only normed division algebras are the first four members — ℝ, ℂ, ℍ, 𝕆 — of dimensions 1, 2, 4, 8. Beyond the octonions, the algebras produced are no longer division algebras at all. This is a clean and well-known result, but it is a theorem about a deliberately restrictive property — multiplicativity of the norm — and so its force as evidence for a general phase transition at n=4 is somewhat limited.</w:t>
      </w:r>
    </w:p>
    <w:p>
      <w:pPr>
        <w:spacing w:after="200"/>
      </w:pPr>
      <w:r>
        <w:rPr>
          <w:rFonts w:ascii="Arial" w:cs="Arial" w:eastAsia="Arial" w:hAnsi="Arial"/>
          <w:sz w:val="24"/>
          <w:szCs w:val="24"/>
        </w:rPr>
        <w:t xml:space="preserve">A more natural and revealing question is: what multilinear polynomial identities does the tower satisfy, and how does this change as one goes up? This is the question addressed by Bremner and Hentzel (Communications in Algebra, 2001), and their answer is striking. The sedenions — the fifth member of the tower, of dimension 16 — serve as a universal certificate for multilinear identities up to degree 5: an identity of degree at most 5 holds for all Cayley-Dickson algebras if and only if it holds for the sedenions. The tameness of the tower’s identity structure is thus controlled by a specific, finite, locatable object. But beyond degree 5, the situation is unknown. No analogue of this result exists for higher degrees; the identity structure of the tower above the sedenions is, at present, uncharacterised. The phase transition in identity complexity is real, finite, and pinned to a specific level — but what lies above it remains genuinely dark. This is a sharper and more instructive example for our programme than the Hurwitz story, precisely because it does not depend on an artificially restrictive property, and because the boundary between the known and the unknown is exact.</w:t>
      </w:r>
    </w:p>
    <w:p>
      <w:pPr>
        <w:spacing w:after="200"/>
      </w:pPr>
      <w:r>
        <w:rPr>
          <w:rFonts w:ascii="Arial" w:cs="Arial" w:eastAsia="Arial" w:hAnsi="Arial"/>
          <w:sz w:val="24"/>
          <w:szCs w:val="24"/>
        </w:rPr>
        <w:t xml:space="preserve">A complementary and almost dual picture emerges from very recent work. Wilmot (arXiv:2505.11747, 2025) analyses the non-associative structure of the tower directly, using a graded notation that makes the structure at each level explicit. The result is remarkable: the non-associative structure is distinct and varied across the first four power-associative algebras — the sedenions, trigintaduonions, and the next two — with each introducing a genuinely new type of non-associativity. But beyond the fourth power-associative algebra, the structure stabilises: it is proved that no further new non-associative types can appear, and all subsequent algebras in the tower share the same structural pattern, merely increasing in size. Where Bremner-Hentzel identifies a threshold above which our knowledge runs out, Wilmot identifies the same threshold as the point above which the structure itself settles into uniformity. These are two independent results, approached from different directions, converging on the same level of the tower. Together they present a vivid double phase transition at the sedenions: wildness giving way to stability from above, and certified tameness giving way to darkness from below. The independent convergence of these two results on the same threshold is precisely the kind of evidence that suggests 5 — the index of the sedenions in the tower — is not merely a convenient stopping point but a genuinely significant structural boundary.</w:t>
      </w:r>
    </w:p>
    <w:p>
      <w:pPr>
        <w:pStyle w:val="Heading2"/>
      </w:pPr>
      <w:r>
        <w:t xml:space="preserve">3.2 Fermat Primes</w:t>
      </w:r>
    </w:p>
    <w:p>
      <w:pPr>
        <w:spacing w:after="200"/>
      </w:pPr>
      <w:r>
        <w:rPr>
          <w:rFonts w:ascii="Arial" w:cs="Arial" w:eastAsia="Arial" w:hAnsi="Arial"/>
          <w:sz w:val="24"/>
          <w:szCs w:val="24"/>
        </w:rPr>
        <w:t xml:space="preserve">The Fermat numbers Fₙ = 2^(2ⁿ)+1 are prime for n=0,1,2,3,4, giving 3, 5, 17, 257, 65537. No further Fermat prime is known, and it is an open question — possibly undecidable — whether any exist. If the sequence of Fermat primes is indeed finite and complete at n=4, this is a phase transition at a finite threshold: below it, all Fermat numbers are prime; above it, none (so far as is known) are. As noted in Section 2, the primality itself is incidental to the programme; what matters is the potential finiteness of the sequence. Strikingly, the apparent cutoff again involves n=4.</w:t>
      </w:r>
    </w:p>
    <w:p>
      <w:pPr>
        <w:pStyle w:val="Heading2"/>
      </w:pPr>
      <w:r>
        <w:t xml:space="preserve">3.3 Solvability of the Alternating Groups</w:t>
      </w:r>
    </w:p>
    <w:p>
      <w:pPr>
        <w:spacing w:after="200"/>
      </w:pPr>
      <w:r>
        <w:rPr>
          <w:rFonts w:ascii="Arial" w:cs="Arial" w:eastAsia="Arial" w:hAnsi="Arial"/>
          <w:sz w:val="24"/>
          <w:szCs w:val="24"/>
        </w:rPr>
        <w:t xml:space="preserve">The alternating group Aₙ is solvable for n≤4 and non-solvable for n≥5. A₅ is the smallest non-abelian simple group, and its non-solvability is precisely what underlies the insolubility of the general quintic by radicals (Abel-Ruffini). The phase transition is exact: n=4 is the last tame case. This is not merely an observation about groups but about the limits of a certain kind of algebraic solution — a qualitative shift in what is achievable, occurring at an identifiable finite threshold.</w:t>
      </w:r>
    </w:p>
    <w:p>
      <w:pPr>
        <w:pStyle w:val="Heading2"/>
      </w:pPr>
      <w:r>
        <w:t xml:space="preserve">3.4 The Classification of Finite Simple Groups and the Monster</w:t>
      </w:r>
    </w:p>
    <w:p>
      <w:pPr>
        <w:spacing w:after="200"/>
      </w:pPr>
      <w:r>
        <w:rPr>
          <w:rFonts w:ascii="Arial" w:cs="Arial" w:eastAsia="Arial" w:hAnsi="Arial"/>
          <w:sz w:val="24"/>
          <w:szCs w:val="24"/>
        </w:rPr>
        <w:t xml:space="preserve">The classification of finite simple groups reveals a phase transition of a different character: the infinite families (cyclic groups of prime order, alternating groups, groups of Lie type) are joined by exactly 26 sporadic groups that fit no systematic pattern. The Monster — the largest sporadic simple group, of order approximately 8×10S — sits at the far end as the extremal case. This is a phase transition at the top of a classification: beyond the regular, patterned infinite families lies a finite collection of exceptions, and the Monster marks the boundary of that exceptional world.</w:t>
      </w:r>
    </w:p>
    <w:p>
      <w:pPr>
        <w:pStyle w:val="Heading2"/>
      </w:pPr>
      <w:r>
        <w:t xml:space="preserve">3.5 Arithmetic and the Onset of Incompleteness</w:t>
      </w:r>
    </w:p>
    <w:p>
      <w:pPr>
        <w:spacing w:after="200"/>
      </w:pPr>
      <w:r>
        <w:rPr>
          <w:rFonts w:ascii="Arial" w:cs="Arial" w:eastAsia="Arial" w:hAnsi="Arial"/>
          <w:sz w:val="24"/>
          <w:szCs w:val="24"/>
        </w:rPr>
        <w:t xml:space="preserve">Presburger arithmetic — first-order arithmetic with addition but without multiplication — is decidable and complete. Peano arithmetic, which adds multiplication, is neither: Gödel’s incompleteness theorems apply. The introduction of multiplication is a phase transition in expressive and logical power, tipping the system from tameness into irreducible incompleteness. This is a transition driven not by the admission of a new atom (in the sense of this programme) but by the admission of a new operation — suggesting that the axes of our hierarchy (atoms and operations) interact in ways that are themselves worth classifying.</w:t>
      </w:r>
    </w:p>
    <w:p>
      <w:pPr>
        <w:pStyle w:val="Heading2"/>
      </w:pPr>
      <w:r>
        <w:t xml:space="preserve">3.6 Ramsey Numbers</w:t>
      </w:r>
    </w:p>
    <w:p>
      <w:pPr>
        <w:spacing w:after="200"/>
      </w:pPr>
      <w:r>
        <w:rPr>
          <w:rFonts w:ascii="Arial" w:cs="Arial" w:eastAsia="Arial" w:hAnsi="Arial"/>
          <w:sz w:val="24"/>
          <w:szCs w:val="24"/>
        </w:rPr>
        <w:t xml:space="preserve">Ramsey theory guarantees that for any given r and s, there exists a finite threshold R(r,s) — the Ramsey number — beyond which complete graphs necessarily contain a clique of size r or an independent set of size s. The phase transition is provably finite but in most cases cannot be located precisely: R(3,3)=6 and R(4,4)=18 are known, but R(5,5) is only known to lie between 43 and 48, and R(6,6) remains deeply intractable. This illustrates a distinct and important category of phase transition: one whose finite existence is guaranteed by proof, but whose exact location lies beyond current reach. Erdős’s remark that computing R(6,6) would require computational resources beyond civilisation’s means captures the sense in which these thresholds, though finite, inhabit a different world from the mathematics needed to prove they exist.</w:t>
      </w:r>
    </w:p>
    <w:p>
      <w:pPr>
        <w:pStyle w:val="Heading2"/>
      </w:pPr>
      <w:r>
        <w:t xml:space="preserve">3.7 The Poincaré Conjecture and Geometric Topology in Low Dimensions</w:t>
      </w:r>
    </w:p>
    <w:p>
      <w:pPr>
        <w:spacing w:after="200"/>
      </w:pPr>
      <w:r>
        <w:rPr>
          <w:rFonts w:ascii="Arial" w:cs="Arial" w:eastAsia="Arial" w:hAnsi="Arial"/>
          <w:sz w:val="24"/>
          <w:szCs w:val="24"/>
        </w:rPr>
        <w:t xml:space="preserve">One of the most striking instances of a phase transition in mathematics is the behaviour of the Poincaré conjecture across dimensions. Intuitively, higher-dimensional manifolds should be harder to classify; in practice, the conjecture was proved first in dimensions n≥5 (Smale, 1961), then in dimension 4 (Freedman, 1982), and finally in dimension 3 (Perelman, 2003). The resolution ran from high to low dimensions, with 3 and 4 being the genuinely hard cases. Dimension 4 is in many respects the most exceptional: it is the unique dimension in which exotic smooth structures on ℝⁿ exist, in which the Whitney trick (central to the high-dimensional proofs) fails, and in which the interplay between topology and smooth structure is most subtle. This exceptionality is not unrelated to the appearance of dimension 4 in Hurwitz’s theorem and in the solvability of the alternating groups — and the bridge between them, which passes through the quaternions and their role in both algebra and four-dimensional geometry, has been a fertile source of modern research. The low-dimensional cases have generated entire fields: Thurston’s geometrisation programme, Floer homology, Donaldson and Seiberg-Witten theory. The phase transition at dimension 4 is, in a precise sense, still being understood.</w:t>
      </w:r>
    </w:p>
    <w:p>
      <w:pPr>
        <w:pStyle w:val="Heading2"/>
      </w:pPr>
      <w:r>
        <w:t xml:space="preserve">3.8 The n=4 and n=5 Clustering</w:t>
      </w:r>
    </w:p>
    <w:p>
      <w:pPr>
        <w:spacing w:after="200"/>
      </w:pPr>
      <w:r>
        <w:rPr>
          <w:rFonts w:ascii="Arial" w:cs="Arial" w:eastAsia="Arial" w:hAnsi="Arial"/>
          <w:sz w:val="24"/>
          <w:szCs w:val="24"/>
        </w:rPr>
        <w:t xml:space="preserve">It is worth pausing to note a recurrence across the examples above. Hurwitz’s theorem ends at dimension 8 = 2⁴; the apparent Fermat prime cutoff is at n=4; the last solvable alternating group is A₄; the Poincaré conjecture is hardest and most exceptional in dimension 4. Meanwhile, at n=5: the unique-field theorem fails for the first time at 6 = the first non-prime-power, meaning 5 is the last integer below the threshold; the Cayley-Dickson tower’s identity structure is certified by the sedenions (the fifth member) and uncharacterised above; and the non-associative structure of the tower is proved by Wilmot to stabilise after the fourth power-associative algebra, again the fifth level overall. The independent convergence of multiple results from different branches of mathematics on both n=4 and n=5 as significant thresholds is striking. Whether this reflects a single deep structural reason, a family of related reasons, or an extraordinary coincidence is an open question — and itself a good example of the kind of question this programme hopes to make more precise. One possibility is that the range 4–5 marks a threshold in the complexity of the interaction between algebraic, combinatorial, and geometric structure: below it, exceptional simplicity and uniformity prevail; above it, generic and often intractable behaviour sets in. That the integers up to 5 are precisely the prime powers — and hence the integers with unique associated fields — may be not merely a numerical coincidence but a symptom of this deeper structural boundary.</w:t>
      </w:r>
    </w:p>
    <w:p>
      <w:pPr>
        <w:pStyle w:val="Heading1"/>
      </w:pPr>
      <w:r>
        <w:t xml:space="preserve">4.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5.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6.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6.1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6.2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6.3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6.4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6.5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7.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8.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8.7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9.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Style w:val="Heading1"/>
      </w:pPr>
      <w:r>
        <w:t xml:space="preserve">10. Two Natural Extensions</w:t>
      </w:r>
    </w:p>
    <w:p>
      <w:pPr>
        <w:spacing w:after="200"/>
      </w:pPr>
      <w:r>
        <w:rPr>
          <w:rFonts w:ascii="Arial" w:cs="Arial" w:eastAsia="Arial" w:hAnsi="Arial"/>
          <w:sz w:val="24"/>
          <w:szCs w:val="24"/>
        </w:rPr>
        <w:t xml:space="preserve">We close by noting two directions that extend the programme naturally, one mathematical and one empirical.</w:t>
      </w:r>
    </w:p>
    <w:p>
      <w:pPr>
        <w:pStyle w:val="Heading2"/>
      </w:pPr>
      <w:r>
        <w:t xml:space="preserve">10.1 Undecidable Propositions as a Fingerprint</w:t>
      </w:r>
    </w:p>
    <w:p>
      <w:pPr>
        <w:spacing w:after="200"/>
      </w:pPr>
      <w:r>
        <w:rPr>
          <w:rFonts w:ascii="Arial" w:cs="Arial" w:eastAsia="Arial" w:hAnsi="Arial"/>
          <w:sz w:val="24"/>
          <w:szCs w:val="24"/>
        </w:rPr>
        <w:t xml:space="preserve">Channelling the spirit of Schanuel’s conjecture, one may ask: is there a sense in which the undecidable propositions of a logical system — taken up to some natural equivalence — characterise that system? Just as Schanuel asserts that the transcendental universe has no unexpected algebraic relations among its elements, one might conjecture that the undecidables of a sufficiently natural system are as independent as possible — a uniformity statement about the shape of what cannot be proved.</w:t>
      </w:r>
    </w:p>
    <w:p>
      <w:pPr>
        <w:spacing w:after="200"/>
      </w:pPr>
      <w:r>
        <w:rPr>
          <w:rFonts w:ascii="Arial" w:cs="Arial" w:eastAsia="Arial" w:hAnsi="Arial"/>
          <w:sz w:val="24"/>
          <w:szCs w:val="24"/>
        </w:rPr>
        <w:t xml:space="preserve">Partial realisations of this idea already exist. In computability theory, Turing degrees organise undecidable problems by relative difficulty, and the structure of that ordering is itself a rich mathematical object. In complexity theory, the NP-completeness phenomenon — in which thousands of apparently unrelated problems collapse to a single equivalence class under polynomial reduction — is precisely a statement about the unexpected uniformity of a family of hard problems. The Lindenbaum algebra of a logical theory captures propositions up to provable equivalence, encoding the theory’s structure algebraically. In reverse mathematics, the strength of a theory is characterised by which propositions it cannot prove over a weak base. Each of these is a fragment of the general idea: that the profile of unprovability is as mathematically structured, and as characteristic of a system, as the profile of what it can prove. Developing this into a systematic programme — a classification of logical settings by their undecidability structure, analogous to the classification of universes by their atoms — is a natural and potentially deep extension of the present work.</w:t>
      </w:r>
    </w:p>
    <w:p>
      <w:pPr>
        <w:pStyle w:val="Heading2"/>
      </w:pPr>
      <w:r>
        <w:t xml:space="preserve">10.2 Cognitive and Social Phase Transitions: Miller and Dunbar</w:t>
      </w:r>
    </w:p>
    <w:p>
      <w:pPr>
        <w:spacing w:after="200"/>
      </w:pPr>
      <w:r>
        <w:rPr>
          <w:rFonts w:ascii="Arial" w:cs="Arial" w:eastAsia="Arial" w:hAnsi="Arial"/>
          <w:sz w:val="24"/>
          <w:szCs w:val="24"/>
        </w:rPr>
        <w:t xml:space="preserve">The programme finds an unexpected echo in cognitive science and anthropology. George Miller’s observation that working memory has a capacity of approximately 7଒ items, and Robin Dunbar’s identification of approximately 150 as the natural limit of stable human social groups, are both empirically observed phase transitions at small finite values — thresholds beyond which the qualitative character of mental or collective organisation changes abruptly. They are, in the language of this programme, phase transitions occurring at finite values in the domain of cognitive and social architecture.</w:t>
      </w:r>
    </w:p>
    <w:p>
      <w:pPr>
        <w:spacing w:after="200"/>
      </w:pPr>
      <w:r>
        <w:rPr>
          <w:rFonts w:ascii="Arial" w:cs="Arial" w:eastAsia="Arial" w:hAnsi="Arial"/>
          <w:sz w:val="24"/>
          <w:szCs w:val="24"/>
        </w:rPr>
        <w:t xml:space="preserve">This suggests a possible fifth category of atom — cognitive and social atoms — sitting alongside the mathematical, physical, computational, and logical ones identified in Section 6. However, the taxonomy raises an immediate and interesting question: are these cognitive thresholds genuinely primitive, or are they derived from atoms in one of the other categories? Dunbar’s number has a proposed derivation from neocortex size ratios, which would make it a physical atom in our taxonomy; Miller’s limit may ultimately reduce to information-theoretic constraints, placing it among the computational atoms. Whether cognitive and social phase transitions constitute a genuinely independent category, or are downstream consequences of physical and computational ones, is itself a question in the spirit of the programme: asking not merely what the thresholds are, but what kind of atom they represent.</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