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77777777"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25001565"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0F417778" w14:textId="77777777" w:rsidR="00D828C6" w:rsidRPr="00364197" w:rsidRDefault="00D828C6" w:rsidP="003B3FFE">
      <w:pPr>
        <w:pStyle w:val="IT"/>
      </w:pPr>
      <w:r w:rsidRPr="007573E5">
        <w:rPr>
          <w:rStyle w:val="H5CharChar"/>
        </w:rPr>
        <w:t>INDEX TERMS</w:t>
      </w:r>
      <w:r w:rsidR="005C3955" w:rsidRPr="007573E5">
        <w:t xml:space="preserve"> </w:t>
      </w:r>
      <w:r w:rsidR="00364197" w:rsidRPr="00364197">
        <w:t>Enter key words or phrases in alphabetical order, separated by commas. For a list of suggested keywords, send a blank e-mail to keywords@ieee.org or visit http://www.ieee.org/organizations/</w:t>
      </w:r>
      <w:r w:rsidR="00364197">
        <w:br/>
      </w:r>
      <w:r w:rsidR="00364197" w:rsidRPr="00364197">
        <w:t>pubs/</w:t>
      </w:r>
      <w:proofErr w:type="spellStart"/>
      <w:r w:rsidR="00364197" w:rsidRPr="00364197">
        <w:t>ani_prod</w:t>
      </w:r>
      <w:proofErr w:type="spellEnd"/>
      <w:r w:rsidR="00364197" w:rsidRPr="00364197">
        <w:t>/keywrd98.txt</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7777777"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091C4348" w14:textId="77777777" w:rsidR="00D828C6" w:rsidRPr="005C3955" w:rsidRDefault="00364197" w:rsidP="00364197">
      <w:pPr>
        <w:pStyle w:val="PARAIndent"/>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w:t>
      </w:r>
      <w:r w:rsidRPr="00CF1C08">
        <w:t xml:space="preserve">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2"/>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3" o:title=""/>
          </v:shape>
          <o:OLEObject Type="Embed" ProgID="Equation.3" ShapeID="_x0000_i1025" DrawAspect="Content" ObjectID="_1703421693"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lastRenderedPageBreak/>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lastRenderedPageBreak/>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958FD" w14:textId="77777777" w:rsidR="008B2BCE" w:rsidRDefault="008B2BCE">
      <w:r>
        <w:separator/>
      </w:r>
    </w:p>
  </w:endnote>
  <w:endnote w:type="continuationSeparator" w:id="0">
    <w:p w14:paraId="172900BC" w14:textId="77777777" w:rsidR="008B2BCE" w:rsidRDefault="008B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D9A8D" w14:textId="77777777" w:rsidR="008B2BCE" w:rsidRDefault="008B2BCE">
      <w:r>
        <w:separator/>
      </w:r>
    </w:p>
  </w:footnote>
  <w:footnote w:type="continuationSeparator" w:id="0">
    <w:p w14:paraId="7E8CBD49" w14:textId="77777777" w:rsidR="008B2BCE" w:rsidRDefault="008B2BCE">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abstractNumId w:val="0"/>
  </w:num>
  <w:num w:numId="2">
    <w:abstractNumId w:val="9"/>
  </w:num>
  <w:num w:numId="3">
    <w:abstractNumId w:val="17"/>
  </w:num>
  <w:num w:numId="4">
    <w:abstractNumId w:val="14"/>
  </w:num>
  <w:num w:numId="5">
    <w:abstractNumId w:val="29"/>
  </w:num>
  <w:num w:numId="6">
    <w:abstractNumId w:val="19"/>
  </w:num>
  <w:num w:numId="7">
    <w:abstractNumId w:val="7"/>
  </w:num>
  <w:num w:numId="8">
    <w:abstractNumId w:val="11"/>
  </w:num>
  <w:num w:numId="9">
    <w:abstractNumId w:val="24"/>
  </w:num>
  <w:num w:numId="10">
    <w:abstractNumId w:val="5"/>
  </w:num>
  <w:num w:numId="11">
    <w:abstractNumId w:val="28"/>
  </w:num>
  <w:num w:numId="12">
    <w:abstractNumId w:val="25"/>
  </w:num>
  <w:num w:numId="13">
    <w:abstractNumId w:val="3"/>
  </w:num>
  <w:num w:numId="14">
    <w:abstractNumId w:val="4"/>
    <w:lvlOverride w:ilvl="0">
      <w:lvl w:ilvl="0">
        <w:start w:val="1"/>
        <w:numFmt w:val="upperLetter"/>
        <w:suff w:val="space"/>
        <w:lvlText w:val="%1."/>
        <w:lvlJc w:val="left"/>
        <w:pPr>
          <w:ind w:left="0" w:firstLine="0"/>
        </w:pPr>
        <w:rPr>
          <w:rFonts w:hint="default"/>
        </w:rPr>
      </w:lvl>
    </w:lvlOverride>
  </w:num>
  <w:num w:numId="15">
    <w:abstractNumId w:val="10"/>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1"/>
  </w:num>
  <w:num w:numId="21">
    <w:abstractNumId w:val="20"/>
  </w:num>
  <w:num w:numId="22">
    <w:abstractNumId w:val="6"/>
  </w:num>
  <w:num w:numId="23">
    <w:abstractNumId w:val="13"/>
  </w:num>
  <w:num w:numId="24">
    <w:abstractNumId w:val="31"/>
  </w:num>
  <w:num w:numId="25">
    <w:abstractNumId w:val="23"/>
  </w:num>
  <w:num w:numId="26">
    <w:abstractNumId w:val="27"/>
  </w:num>
  <w:num w:numId="27">
    <w:abstractNumId w:val="15"/>
  </w:num>
  <w:num w:numId="28">
    <w:abstractNumId w:val="21"/>
  </w:num>
  <w:num w:numId="29">
    <w:abstractNumId w:val="34"/>
  </w:num>
  <w:num w:numId="30">
    <w:abstractNumId w:val="8"/>
  </w:num>
  <w:num w:numId="31">
    <w:abstractNumId w:val="32"/>
  </w:num>
  <w:num w:numId="32">
    <w:abstractNumId w:val="16"/>
  </w:num>
  <w:num w:numId="33">
    <w:abstractNumId w:val="30"/>
  </w:num>
  <w:num w:numId="34">
    <w:abstractNumId w:val="26"/>
  </w:num>
  <w:num w:numId="35">
    <w:abstractNumId w:val="18"/>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6478</Words>
  <Characters>36929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43321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Peter Stavenick</cp:lastModifiedBy>
  <cp:revision>4</cp:revision>
  <cp:lastPrinted>2022-01-11T05:39:00Z</cp:lastPrinted>
  <dcterms:created xsi:type="dcterms:W3CDTF">2022-01-11T05:33:00Z</dcterms:created>
  <dcterms:modified xsi:type="dcterms:W3CDTF">2022-01-11T20:55:00Z</dcterms:modified>
</cp:coreProperties>
</file>