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Ahmed &amp; Satchell (2018): A Learning Handout</w:t>
      </w:r>
    </w:p>
    <w:p>
      <w:pPr>
        <w:spacing w:after="360"/>
        <w:jc w:val="center"/>
      </w:pPr>
      <w:r>
        <w:rPr>
          <w:i/>
          <w:iCs/>
          <w:sz w:val="24"/>
          <w:szCs w:val="24"/>
        </w:rPr>
        <w:t xml:space="preserve">Understanding Threshold Autoregressions, Market Efficiency, and Implementation</w:t>
      </w:r>
    </w:p>
    <w:p>
      <w:pPr>
        <w:pStyle w:val="Heading1"/>
      </w:pPr>
      <w:r>
        <w:t xml:space="preserve">Part 1 — The Paper in Outline</w:t>
      </w:r>
    </w:p>
    <w:p>
      <w:pPr>
        <w:pStyle w:val="Heading2"/>
      </w:pPr>
      <w:r>
        <w:t xml:space="preserve">What the paper is about</w:t>
      </w:r>
    </w:p>
    <w:p>
      <w:pPr>
        <w:spacing w:after="120"/>
      </w:pPr>
      <w:r>
        <w:t xml:space="preserve">The paper asks a deceptively simple question: what fraction of the time is a financial market actually efficient? Traditional efficient market hypothesis (EMH) work treats efficiency as binary — a market either is or isn't efficient, judged on average over a sample period. Ahmed &amp; Satchell reject this framing. They argue markets switch between states (random-walk efficient, mean-reverting, explosive/bubble-like), and the interesting question is how much time is spent in each.</w:t>
      </w:r>
    </w:p>
    <w:p>
      <w:pPr>
        <w:spacing w:after="120"/>
      </w:pPr>
      <w:r>
        <w:t xml:space="preserve">To formalise this they use threshold autoregressive (TAR) models where the autoregressive parameter switches between regimes depending on an external trigger variable (e.g. consumer sentiment, the VIX).</w:t>
      </w:r>
    </w:p>
    <w:p>
      <w:pPr>
        <w:pStyle w:val="Heading2"/>
      </w:pPr>
      <w:r>
        <w:t xml:space="preserve">The paper's logical chain</w:t>
      </w:r>
    </w:p>
    <w:p>
      <w:pPr>
        <w:pStyle w:val="ListParagraph"/>
        <w:numPr>
          <w:ilvl w:val="0"/>
          <w:numId w:val="2"/>
        </w:numPr>
        <w:spacing w:after="80"/>
      </w:pPr>
      <w:r>
        <w:rPr>
          <w:b/>
          <w:bCs/>
        </w:rPr>
        <w:t xml:space="preserve">Theoretical foundation. </w:t>
      </w:r>
      <w:r>
        <w:t xml:space="preserve">Generalise Knight &amp; Satchell (2011) from two-state to k-state TAR. Derive conditions under which such a process has (a) a stationary distribution, (b) a finite mean, (c) a finite variance — for switching drift, constant drift, and no drift specifications.</w:t>
      </w:r>
    </w:p>
    <w:p>
      <w:pPr>
        <w:pStyle w:val="ListParagraph"/>
        <w:numPr>
          <w:ilvl w:val="0"/>
          <w:numId w:val="2"/>
        </w:numPr>
        <w:spacing w:after="80"/>
      </w:pPr>
      <w:r>
        <w:rPr>
          <w:b/>
          <w:bCs/>
        </w:rPr>
        <w:t xml:space="preserve">Implication for bubble detection. </w:t>
      </w:r>
      <w:r>
        <w:t xml:space="preserve">If you know whether a process has a stationary distribution, you can predict when bubble-detection tests will work and when they'll fail. Tested via simulation against the GSADF test.</w:t>
      </w:r>
    </w:p>
    <w:p>
      <w:pPr>
        <w:pStyle w:val="ListParagraph"/>
        <w:numPr>
          <w:ilvl w:val="0"/>
          <w:numId w:val="2"/>
        </w:numPr>
        <w:spacing w:after="80"/>
      </w:pPr>
      <w:r>
        <w:rPr>
          <w:b/>
          <w:bCs/>
        </w:rPr>
        <w:t xml:space="preserve">Reframe efficiency as a state. </w:t>
      </w:r>
      <w:r>
        <w:t xml:space="preserve">Once markets live in a multi-state world, efficiency is one of several states. You can measure the time-proportion spent in the efficient state — a continuous metric instead of a yes/no verdict.</w:t>
      </w:r>
    </w:p>
    <w:p>
      <w:pPr>
        <w:pStyle w:val="ListParagraph"/>
        <w:numPr>
          <w:ilvl w:val="0"/>
          <w:numId w:val="2"/>
        </w:numPr>
        <w:spacing w:after="80"/>
      </w:pPr>
      <w:r>
        <w:rPr>
          <w:b/>
          <w:bCs/>
        </w:rPr>
        <w:t xml:space="preserve">Empirical demonstration. </w:t>
      </w:r>
      <w:r>
        <w:t xml:space="preserve">Apply this to S&amp;P 500 and FTSE 100, using MCSI and VIX as triggers.</w:t>
      </w:r>
    </w:p>
    <w:p>
      <w:pPr>
        <w:pStyle w:val="Heading2"/>
      </w:pPr>
      <w:r>
        <w:t xml:space="preserve">Headline findings</w:t>
      </w:r>
    </w:p>
    <w:p>
      <w:pPr>
        <w:pStyle w:val="ListParagraph"/>
        <w:numPr>
          <w:ilvl w:val="0"/>
          <w:numId w:val="3"/>
        </w:numPr>
        <w:spacing w:after="80"/>
      </w:pPr>
      <w:r>
        <w:rPr>
          <w:b/>
          <w:bCs/>
        </w:rPr>
        <w:t xml:space="preserve">Bubbles are easier to detect when no stationary distribution exists. </w:t>
      </w:r>
      <w:r>
        <w:t xml:space="preserve">GSADF has high power against explosive non-stationary processes, but its power falls considerably when the process has a stationary distribution — even if locally explosive regimes are still present.</w:t>
      </w:r>
    </w:p>
    <w:p>
      <w:pPr>
        <w:pStyle w:val="ListParagraph"/>
        <w:numPr>
          <w:ilvl w:val="0"/>
          <w:numId w:val="3"/>
        </w:numPr>
        <w:spacing w:after="80"/>
      </w:pPr>
      <w:r>
        <w:rPr>
          <w:b/>
          <w:bCs/>
        </w:rPr>
        <w:t xml:space="preserve">Market efficiency is model-dependent. </w:t>
      </w:r>
      <w:r>
        <w:t xml:space="preserve">The estimated proportion of time a market is efficient depends heavily on whether drift is allowed to switch across regimes. A switching drift absorbs explosive behaviour and makes markets appear more efficient.</w:t>
      </w:r>
    </w:p>
    <w:p>
      <w:pPr>
        <w:pStyle w:val="ListParagraph"/>
        <w:numPr>
          <w:ilvl w:val="0"/>
          <w:numId w:val="3"/>
        </w:numPr>
        <w:spacing w:after="80"/>
      </w:pPr>
      <w:r>
        <w:rPr>
          <w:b/>
          <w:bCs/>
        </w:rPr>
        <w:t xml:space="preserve">Cross-market comparison is still valid. </w:t>
      </w:r>
      <w:r>
        <w:t xml:space="preserve">Hold the specification fixed, and you can meaningfully compare efficiency across different markets — even if absolute numbers are model-dependent.</w:t>
      </w:r>
    </w:p>
    <w:p>
      <w:pPr>
        <w:pStyle w:val="Heading1"/>
      </w:pPr>
      <w:r>
        <w:t xml:space="preserve">Part 2 — Key Concepts You Must Be Solid On</w:t>
      </w:r>
    </w:p>
    <w:p>
      <w:pPr>
        <w:pStyle w:val="Heading2"/>
      </w:pPr>
      <w:r>
        <w:t xml:space="preserve">Threshold autoregression (TAR)</w:t>
      </w:r>
    </w:p>
    <w:p>
      <w:pPr>
        <w:spacing w:after="120"/>
      </w:pPr>
      <w:r>
        <w:t xml:space="preserve">A threshold regression splits the parameter space based on the value of some variable. The simplest case:</w:t>
      </w:r>
    </w:p>
    <w:p>
      <w:pPr>
        <w:spacing w:after="120" w:before="120"/>
        <w:jc w:val="center"/>
      </w:pPr>
      <w:r>
        <w:rPr>
          <w:rFonts w:ascii="Cambria Math" w:cs="Cambria Math" w:eastAsia="Cambria Math" w:hAnsi="Cambria Math"/>
          <w:i/>
          <w:iCs/>
        </w:rPr>
        <w:t xml:space="preserve">y_t = α_1 + β_1 x_t + ε_t  if z_t ≤ c</w:t>
      </w:r>
    </w:p>
    <w:p>
      <w:pPr>
        <w:spacing w:after="120" w:before="120"/>
        <w:jc w:val="center"/>
      </w:pPr>
      <w:r>
        <w:rPr>
          <w:rFonts w:ascii="Cambria Math" w:cs="Cambria Math" w:eastAsia="Cambria Math" w:hAnsi="Cambria Math"/>
          <w:i/>
          <w:iCs/>
        </w:rPr>
        <w:t xml:space="preserve">y_t = α_2 + β_2 x_t + ε_t  if z_t &gt; c</w:t>
      </w:r>
    </w:p>
    <w:p>
      <w:pPr>
        <w:spacing w:after="120"/>
      </w:pPr>
      <w:r>
        <w:t xml:space="preserve">The 'threshold' is c. Within each regime, you fit a standard linear model. Two things make threshold regression non-trivial. First, the threshold c is unknown and must be estimated; standard derivative-based optimisation doesn't work because c enters the model discontinuously. Second, inference on c is non-standard — its distribution is not normal. The standard estimation approach is grid search: try every plausible value of c, compute total residual sum of squares for each, pick the c that minimises it. This is exactly what Section 4 does, extended to two thresholds.</w:t>
      </w:r>
    </w:p>
    <w:p>
      <w:pPr>
        <w:pStyle w:val="Heading2"/>
      </w:pPr>
      <w:r>
        <w:t xml:space="preserve">Unit roots and non-stationarity</w:t>
      </w:r>
    </w:p>
    <w:p>
      <w:pPr>
        <w:spacing w:after="120"/>
      </w:pPr>
      <w:r>
        <w:t xml:space="preserve">A unit root in an AR(1) model means φ = 1, i.e. p_t = α + p_{t-1} + ε_t. Shocks have permanent effects — the series doesn't revert. If φ &lt; 1, shocks fade and the series mean-reverts (stationary). If φ &gt; 1, shocks compound (explosive, non-stationary).</w:t>
      </w:r>
    </w:p>
    <w:p>
      <w:pPr>
        <w:spacing w:after="120"/>
      </w:pPr>
      <w:r>
        <w:t xml:space="preserve">A series with φ = 1 is integrated of order 1, written I(1). Its first difference Δp_t is stationary (I(0)). The paper differences the price series for exactly this reason — it makes the 'efficient' benchmark correspond cleanly to a slope coefficient of zero in the difference equation.</w:t>
      </w:r>
    </w:p>
    <w:p>
      <w:pPr>
        <w:pStyle w:val="Heading2"/>
      </w:pPr>
      <w:r>
        <w:t xml:space="preserve">Stationarity in regime-switching models</w:t>
      </w:r>
    </w:p>
    <w:p>
      <w:pPr>
        <w:spacing w:after="120"/>
      </w:pPr>
      <w:r>
        <w:t xml:space="preserve">A regime-switching process can be globally stationary even if some regimes are locally explosive. The criterion the paper derives:</w:t>
      </w:r>
    </w:p>
    <w:p>
      <w:pPr>
        <w:spacing w:after="120" w:before="120"/>
        <w:jc w:val="center"/>
      </w:pPr>
      <w:r>
        <w:rPr>
          <w:rFonts w:ascii="Cambria Math" w:cs="Cambria Math" w:eastAsia="Cambria Math" w:hAnsi="Cambria Math"/>
          <w:i/>
          <w:iCs/>
        </w:rPr>
        <w:t xml:space="preserve">Σ π_j ln|β_j| &lt; 0</w:t>
      </w:r>
    </w:p>
    <w:p>
      <w:pPr>
        <w:spacing w:after="120"/>
      </w:pPr>
      <w:r>
        <w:t xml:space="preserve">is the condition for the long-run average log absolute AR coefficient to be negative — sufficient (under i.i.d. regime switching) to ensure the process doesn't blow up. Crucially, the existence of a stationary distribution does NOT guarantee the existence of moments. A series can have a stationary distribution but still have infinite mean and variance (think Cauchy). This matters because standard inference tools (t-stats, Sharpe ratios) assume finite moments.</w:t>
      </w:r>
    </w:p>
    <w:p>
      <w:pPr>
        <w:pStyle w:val="Heading2"/>
      </w:pPr>
      <w:r>
        <w:t xml:space="preserve">The GSADF bubble test</w:t>
      </w:r>
    </w:p>
    <w:p>
      <w:pPr>
        <w:spacing w:after="120"/>
      </w:pPr>
      <w:r>
        <w:t xml:space="preserve">GSADF = Generalised Supremum Augmented Dickey-Fuller (Phillips, Shi, Yu 2013). The standard ADF tests whether the series has a unit root; the bubble-detection variant looks at the right tail — if φ &gt; 1, the series is locally explosive. The GSADF runs the ADF regression recursively over many overlapping sub-samples (expanding and rolling windows), taking the supremum of all test statistics. If any window shows explosiveness, the sup statistic will pick it up. Powerful precisely because it scans for local explosiveness rather than averaging it away.</w:t>
      </w:r>
    </w:p>
    <w:p>
      <w:pPr>
        <w:spacing w:after="120"/>
      </w:pPr>
      <w:r>
        <w:t xml:space="preserve">The paper's simulation result: GSADF has high power against case-1 processes (no stationary distribution) but its power collapses for case-2 processes (stationary overall despite local explosiveness). PSY's original simulations only tested case 1, so the test was implicitly calibrated against the regime where it works best.</w:t>
      </w:r>
    </w:p>
    <w:p>
      <w:pPr>
        <w:pStyle w:val="Heading1"/>
      </w:pPr>
      <w:r>
        <w:t xml:space="preserve">Part 3 — Section 4 in Depth</w:t>
      </w:r>
    </w:p>
    <w:p>
      <w:pPr>
        <w:pStyle w:val="Heading2"/>
      </w:pPr>
      <w:r>
        <w:t xml:space="preserve">The model (equation 22)</w:t>
      </w:r>
    </w:p>
    <w:p>
      <w:pPr>
        <w:spacing w:after="120" w:before="120"/>
        <w:jc w:val="center"/>
      </w:pPr>
      <w:r>
        <w:rPr>
          <w:rFonts w:ascii="Cambria Math" w:cs="Cambria Math" w:eastAsia="Cambria Math" w:hAnsi="Cambria Math"/>
          <w:i/>
          <w:iCs/>
        </w:rPr>
        <w:t xml:space="preserve">Δp_t = ψ_{t-1} + (φ_{t-1} − 1) p_{t-1} + η_t,   η_t ~ N(0, σ²)</w:t>
      </w:r>
    </w:p>
    <w:p>
      <w:pPr>
        <w:spacing w:after="120"/>
      </w:pPr>
      <w:r>
        <w:t xml:space="preserve">with three regimes:</w:t>
      </w:r>
    </w:p>
    <w:p>
      <w:pPr>
        <w:pStyle w:val="ListParagraph"/>
        <w:numPr>
          <w:ilvl w:val="0"/>
          <w:numId w:val="3"/>
        </w:numPr>
        <w:spacing w:after="80"/>
      </w:pPr>
      <w:r>
        <w:rPr>
          <w:b/>
          <w:bCs/>
        </w:rPr>
        <w:t xml:space="preserve">State 1 </w:t>
      </w:r>
      <w:r>
        <w:t xml:space="preserve">(Z_{t-1} &lt; c_1): drift α_1, slope β_1 — unrestricted</w:t>
      </w:r>
    </w:p>
    <w:p>
      <w:pPr>
        <w:pStyle w:val="ListParagraph"/>
        <w:numPr>
          <w:ilvl w:val="0"/>
          <w:numId w:val="3"/>
        </w:numPr>
        <w:spacing w:after="80"/>
      </w:pPr>
      <w:r>
        <w:rPr>
          <w:b/>
          <w:bCs/>
        </w:rPr>
        <w:t xml:space="preserve">State 2 </w:t>
      </w:r>
      <w:r>
        <w:t xml:space="preserve">(c_1 ≤ Z_{t-1} &lt; c_2): drift α_2, slope forced to 0 — the efficient state by construction</w:t>
      </w:r>
    </w:p>
    <w:p>
      <w:pPr>
        <w:pStyle w:val="ListParagraph"/>
        <w:numPr>
          <w:ilvl w:val="0"/>
          <w:numId w:val="3"/>
        </w:numPr>
        <w:spacing w:after="80"/>
      </w:pPr>
      <w:r>
        <w:rPr>
          <w:b/>
          <w:bCs/>
        </w:rPr>
        <w:t xml:space="preserve">State 3 </w:t>
      </w:r>
      <w:r>
        <w:t xml:space="preserve">(Z_{t-1} ≥ c_2): drift α_3, slope β_3 — unrestricted</w:t>
      </w:r>
    </w:p>
    <w:p>
      <w:pPr>
        <w:spacing w:after="120"/>
      </w:pPr>
      <w:r>
        <w:t xml:space="preserve">Writing in difference form means the efficient state corresponds to slope = 0, which is computationally clean. Forcing β_2 = 0 is the identification strategy — it defines the middle regime as efficient and lets the estimation find where its boundaries sit on the trigger variable.</w:t>
      </w:r>
    </w:p>
    <w:p>
      <w:pPr>
        <w:pStyle w:val="Heading2"/>
      </w:pPr>
      <w:r>
        <w:t xml:space="preserve">Why drift matters</w:t>
      </w:r>
    </w:p>
    <w:p>
      <w:pPr>
        <w:spacing w:after="120"/>
      </w:pPr>
      <w:r>
        <w:t xml:space="preserve">Equity prices have positive long-run drift (the risk premium). The 'random walk with drift' Δp_t = α + η_t has unpredictable shocks but persistent upward tilt. Without drift, the model is forced to attribute the secular rise in equity prices to the slope coefficient, making it look explosive. This is why the no-drift specification finds the S&amp;P 500 essentially never efficient — it's an artefact of misspecification.</w:t>
      </w:r>
    </w:p>
    <w:p>
      <w:pPr>
        <w:spacing w:after="120"/>
      </w:pPr>
      <w:r>
        <w:t xml:space="preserve">The switching-drift specification absorbs regime-specific average return shifts through the intercept, leaving little 'explosiveness' for the slope to capture. The constant-drift specification can't do this, so the slope has to do more work. Same data, different attribution between drift and slope, different efficiency reading.</w:t>
      </w:r>
    </w:p>
    <w:p>
      <w:pPr>
        <w:pStyle w:val="Heading2"/>
      </w:pPr>
      <w:r>
        <w:t xml:space="preserve">What Z_{t-1} is and why it's lagged</w:t>
      </w:r>
    </w:p>
    <w:p>
      <w:pPr>
        <w:spacing w:after="120"/>
      </w:pPr>
      <w:r>
        <w:t xml:space="preserve">Z_{t-1} is the value of the trigger variable in the previous period. The lag avoids simultaneity: if you used contemporaneous Z_t, sentiment and prices would be determined together, breaking the identification. By lagging, the state for period t is determined by information already realised before period t began. The trigger needs to be exogenous to past prices — the paper uses Granger causality tests to verify this for MCSI and VIX.</w:t>
      </w:r>
    </w:p>
    <w:p>
      <w:pPr>
        <w:pStyle w:val="Heading2"/>
      </w:pPr>
      <w:r>
        <w:t xml:space="preserve">Sub-samples</w:t>
      </w:r>
    </w:p>
    <w:p>
      <w:pPr>
        <w:spacing w:after="120"/>
      </w:pPr>
      <w:r>
        <w:t xml:space="preserve">A sub-sample is a subset of observations grouped by which regime they belong to — not by time. For a given (c_1, c_2), every observation gets sorted into state 1, 2 or 3 based on its lagged trigger value. The same calendar date can be in different states under different threshold choices. Each (c_1, c_2) pair gives a different partition of the data.</w:t>
      </w:r>
    </w:p>
    <w:p>
      <w:pPr>
        <w:pStyle w:val="Heading2"/>
      </w:pPr>
      <w:r>
        <w:t xml:space="preserve">The grid search algorithm</w:t>
      </w:r>
    </w:p>
    <w:p>
      <w:pPr>
        <w:spacing w:after="120"/>
      </w:pPr>
      <w:r>
        <w:t xml:space="preserve">For each candidate pair (c_1, c_2):</w:t>
      </w:r>
    </w:p>
    <w:p>
      <w:pPr>
        <w:pStyle w:val="ListParagraph"/>
        <w:numPr>
          <w:ilvl w:val="0"/>
          <w:numId w:val="2"/>
        </w:numPr>
        <w:spacing w:after="80"/>
      </w:pPr>
      <w:r>
        <w:t xml:space="preserve">Partition the data into three sub-samples based on Z_{t-1}.</w:t>
      </w:r>
    </w:p>
    <w:p>
      <w:pPr>
        <w:pStyle w:val="ListParagraph"/>
        <w:numPr>
          <w:ilvl w:val="0"/>
          <w:numId w:val="2"/>
        </w:numPr>
        <w:spacing w:after="80"/>
      </w:pPr>
      <w:r>
        <w:t xml:space="preserve">Run OLS within each sub-sample to estimate (α_j, β_j); β_2 is forced to 0.</w:t>
      </w:r>
    </w:p>
    <w:p>
      <w:pPr>
        <w:pStyle w:val="ListParagraph"/>
        <w:numPr>
          <w:ilvl w:val="0"/>
          <w:numId w:val="2"/>
        </w:numPr>
        <w:spacing w:after="80"/>
      </w:pPr>
      <w:r>
        <w:t xml:space="preserve">Sum squared residuals across all three sub-samples to get total SSR.</w:t>
      </w:r>
    </w:p>
    <w:p>
      <w:pPr>
        <w:pStyle w:val="ListParagraph"/>
        <w:numPr>
          <w:ilvl w:val="0"/>
          <w:numId w:val="2"/>
        </w:numPr>
        <w:spacing w:after="80"/>
      </w:pPr>
      <w:r>
        <w:t xml:space="preserve">Track which (c_1, c_2) gives the smallest total SSR.</w:t>
      </w:r>
    </w:p>
    <w:p>
      <w:pPr>
        <w:spacing w:after="120"/>
      </w:pPr>
      <w:r>
        <w:t xml:space="preserve">After exhausting the grid, the winning (ĉ_1, ĉ_2) and corresponding parameter estimates are the answer. The efficiency metric is then simply n_2 / n — the fraction of observations falling in the efficient band.</w:t>
      </w:r>
    </w:p>
    <w:p>
      <w:pPr>
        <w:pStyle w:val="Heading2"/>
      </w:pPr>
      <w:r>
        <w:t xml:space="preserve">The redefined efficiency</w:t>
      </w:r>
    </w:p>
    <w:p>
      <w:pPr>
        <w:spacing w:after="120"/>
      </w:pPr>
      <w:r>
        <w:t xml:space="preserve">The classical EMH says prices follow a random walk: φ = 1 and returns aren't predictable from past prices. The paper's framework adds a second condition: regime switches must also be unpredictable. With an i.i.d. trigger this holds automatically. With a Markovian trigger (which MCSI and VIX both are — first-order autocorrelations of 0.9+ and 0.98 respectively) it doesn't, because investors can anticipate regime persistence and trade on it. The headline efficiency numbers may overstate efficiency in this richer economic sense.</w:t>
      </w:r>
    </w:p>
    <w:p>
      <w:pPr>
        <w:pStyle w:val="Heading1"/>
      </w:pPr>
      <w:r>
        <w:t xml:space="preserve">Part 4 — Reading the Empirical Results</w:t>
      </w:r>
    </w:p>
    <w:p>
      <w:pPr>
        <w:pStyle w:val="Heading2"/>
      </w:pPr>
      <w:r>
        <w:t xml:space="preserve">Table 7: MCSI as the trigger</w:t>
      </w:r>
    </w:p>
    <w:p>
      <w:pPr>
        <w:spacing w:after="120"/>
      </w:pPr>
      <w:r>
        <w:t xml:space="preserve">Three specifications × two indices = six rows. The same data give radically different efficiency stories depending on the drift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6"/>
              <w:left w:val="single" w:color="888888" w:sz="6"/>
              <w:bottom w:val="single" w:color="888888" w:sz="6"/>
              <w:right w:val="single" w:color="888888" w:sz="6"/>
            </w:tcBorders>
            <w:shd w:fill="D5E8F0" w:val="clear"/>
            <w:tcMar>
              <w:top w:type="dxa" w:w="80"/>
              <w:left w:type="dxa" w:w="100"/>
              <w:bottom w:type="dxa" w:w="80"/>
              <w:right w:type="dxa" w:w="100"/>
            </w:tcMar>
          </w:tcPr>
          <w:p>
            <w:r>
              <w:rPr>
                <w:b/>
                <w:bCs/>
                <w:sz w:val="18"/>
                <w:szCs w:val="18"/>
              </w:rPr>
              <w:t xml:space="preserve">Specification</w:t>
            </w:r>
          </w:p>
        </w:tc>
        <w:tc>
          <w:tcPr>
            <w:tcW w:type="dxa" w:w="1872"/>
            <w:tcBorders>
              <w:top w:val="single" w:color="888888" w:sz="6"/>
              <w:left w:val="single" w:color="888888" w:sz="6"/>
              <w:bottom w:val="single" w:color="888888" w:sz="6"/>
              <w:right w:val="single" w:color="888888" w:sz="6"/>
            </w:tcBorders>
            <w:shd w:fill="D5E8F0" w:val="clear"/>
            <w:tcMar>
              <w:top w:type="dxa" w:w="80"/>
              <w:left w:type="dxa" w:w="100"/>
              <w:bottom w:type="dxa" w:w="80"/>
              <w:right w:type="dxa" w:w="100"/>
            </w:tcMar>
          </w:tcPr>
          <w:p>
            <w:r>
              <w:rPr>
                <w:b/>
                <w:bCs/>
                <w:sz w:val="18"/>
                <w:szCs w:val="18"/>
              </w:rPr>
              <w:t xml:space="preserve">S&amp;P 500 Efficient</w:t>
            </w:r>
          </w:p>
        </w:tc>
        <w:tc>
          <w:tcPr>
            <w:tcW w:type="dxa" w:w="1872"/>
            <w:tcBorders>
              <w:top w:val="single" w:color="888888" w:sz="6"/>
              <w:left w:val="single" w:color="888888" w:sz="6"/>
              <w:bottom w:val="single" w:color="888888" w:sz="6"/>
              <w:right w:val="single" w:color="888888" w:sz="6"/>
            </w:tcBorders>
            <w:shd w:fill="D5E8F0" w:val="clear"/>
            <w:tcMar>
              <w:top w:type="dxa" w:w="80"/>
              <w:left w:type="dxa" w:w="100"/>
              <w:bottom w:type="dxa" w:w="80"/>
              <w:right w:type="dxa" w:w="100"/>
            </w:tcMar>
          </w:tcPr>
          <w:p>
            <w:r>
              <w:rPr>
                <w:b/>
                <w:bCs/>
                <w:sz w:val="18"/>
                <w:szCs w:val="18"/>
              </w:rPr>
              <w:t xml:space="preserve">FTSE 100 Efficient</w:t>
            </w:r>
          </w:p>
        </w:tc>
        <w:tc>
          <w:tcPr>
            <w:tcW w:type="dxa" w:w="1872"/>
            <w:tcBorders>
              <w:top w:val="single" w:color="888888" w:sz="6"/>
              <w:left w:val="single" w:color="888888" w:sz="6"/>
              <w:bottom w:val="single" w:color="888888" w:sz="6"/>
              <w:right w:val="single" w:color="888888" w:sz="6"/>
            </w:tcBorders>
            <w:shd w:fill="D5E8F0" w:val="clear"/>
            <w:tcMar>
              <w:top w:type="dxa" w:w="80"/>
              <w:left w:type="dxa" w:w="100"/>
              <w:bottom w:type="dxa" w:w="80"/>
              <w:right w:type="dxa" w:w="100"/>
            </w:tcMar>
          </w:tcPr>
          <w:p>
            <w:r>
              <w:rPr>
                <w:b/>
                <w:bCs/>
                <w:sz w:val="18"/>
                <w:szCs w:val="18"/>
              </w:rPr>
              <w:t xml:space="preserve">Who's more efficient?</w:t>
            </w:r>
          </w:p>
        </w:tc>
        <w:tc>
          <w:tcPr>
            <w:tcW w:type="dxa" w:w="1872"/>
            <w:tcBorders>
              <w:top w:val="single" w:color="888888" w:sz="6"/>
              <w:left w:val="single" w:color="888888" w:sz="6"/>
              <w:bottom w:val="single" w:color="888888" w:sz="6"/>
              <w:right w:val="single" w:color="888888" w:sz="6"/>
            </w:tcBorders>
            <w:shd w:fill="D5E8F0" w:val="clear"/>
            <w:tcMar>
              <w:top w:type="dxa" w:w="80"/>
              <w:left w:type="dxa" w:w="100"/>
              <w:bottom w:type="dxa" w:w="80"/>
              <w:right w:type="dxa" w:w="100"/>
            </w:tcMar>
          </w:tcPr>
          <w:p>
            <w:r>
              <w:rPr>
                <w:b/>
                <w:bCs/>
                <w:sz w:val="18"/>
                <w:szCs w:val="18"/>
              </w:rPr>
              <w:t xml:space="preserve">Notes</w:t>
            </w:r>
          </w:p>
        </w:tc>
      </w:tr>
      <w:tr>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Switching drift</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95%</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92%</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S&amp;P 500 (slight)</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Drift absorbs bubbles</w:t>
            </w:r>
          </w:p>
        </w:tc>
      </w:tr>
      <w:tr>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Constant drift</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11%</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6%</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S&amp;P 500</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Tiny inefficiencies, but significant</w:t>
            </w:r>
          </w:p>
        </w:tc>
      </w:tr>
      <w:tr>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No drift</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2%</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29%</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FTSE 100 (flip)</w:t>
            </w:r>
          </w:p>
        </w:tc>
        <w:tc>
          <w:tcPr>
            <w:tcW w:type="dxa" w:w="1872"/>
            <w:tcBorders>
              <w:top w:val="single" w:color="888888" w:sz="6"/>
              <w:left w:val="single" w:color="888888" w:sz="6"/>
              <w:bottom w:val="single" w:color="888888" w:sz="6"/>
              <w:right w:val="single" w:color="888888" w:sz="6"/>
            </w:tcBorders>
            <w:tcMar>
              <w:top w:type="dxa" w:w="80"/>
              <w:left w:type="dxa" w:w="100"/>
              <w:bottom w:type="dxa" w:w="80"/>
              <w:right w:type="dxa" w:w="100"/>
            </w:tcMar>
          </w:tcPr>
          <w:p>
            <w:r>
              <w:rPr>
                <w:b w:val="false"/>
                <w:bCs w:val="false"/>
                <w:sz w:val="18"/>
                <w:szCs w:val="18"/>
              </w:rPr>
              <w:t xml:space="preserve">Misattributes trend to slope</w:t>
            </w:r>
          </w:p>
        </w:tc>
      </w:tr>
    </w:tbl>
    <w:p>
      <w:r>
        <w:t xml:space="preserve"/>
      </w:r>
    </w:p>
    <w:p>
      <w:pPr>
        <w:spacing w:after="120"/>
      </w:pPr>
      <w:r>
        <w:t xml:space="preserve">The cross-row pattern is the paper's headline finding about model dependence. The cross-market ranking even flips in the no-drift case. The constant-drift result (e.g. β_3 = −0.002 for S&amp;P 500) is statistically significant but economically trivial — a slope of −0.002 represents very mild mean reversion that you can't realistically trade on. This is the statistical-vs-economic significance distinction at work.</w:t>
      </w:r>
    </w:p>
    <w:p>
      <w:pPr>
        <w:pStyle w:val="Heading2"/>
      </w:pPr>
      <w:r>
        <w:t xml:space="preserve">Figure 1 — MCSI vs S&amp;P 500 over time</w:t>
      </w:r>
    </w:p>
    <w:p>
      <w:pPr>
        <w:spacing w:after="120"/>
      </w:pPr>
      <w:r>
        <w:t xml:space="preserve">Sanity check: MCSI spikes upward in the late 1990s (peaking near the dot-com bubble), dips dramatically in 2008-2009, and dipped in the early 1980s during the oil shock aftermath. The fact that MCSI moves in sync with major market episodes justifies using it as a regime trigger. If it were noise, this pattern wouldn't appear.</w:t>
      </w:r>
    </w:p>
    <w:p>
      <w:pPr>
        <w:pStyle w:val="Heading2"/>
      </w:pPr>
      <w:r>
        <w:t xml:space="preserve">Figures 2 &amp; 3 — S&amp;P 500 and FTSE 100 with switching drift</w:t>
      </w:r>
    </w:p>
    <w:p>
      <w:pPr>
        <w:spacing w:after="120"/>
      </w:pPr>
      <w:r>
        <w:t xml:space="preserve">Time-series plots with shaded bands marking the inefficient regimes.</w:t>
      </w:r>
    </w:p>
    <w:p>
      <w:pPr>
        <w:pStyle w:val="ListParagraph"/>
        <w:numPr>
          <w:ilvl w:val="0"/>
          <w:numId w:val="3"/>
        </w:numPr>
        <w:spacing w:after="80"/>
      </w:pPr>
      <w:r>
        <w:rPr>
          <w:b/>
          <w:bCs/>
        </w:rPr>
        <w:t xml:space="preserve">Red (explosive) bands: </w:t>
      </w:r>
      <w:r>
        <w:t xml:space="preserve">1998 and 1999-2000 — the dot-com era. Both indices flagged.</w:t>
      </w:r>
    </w:p>
    <w:p>
      <w:pPr>
        <w:pStyle w:val="ListParagraph"/>
        <w:numPr>
          <w:ilvl w:val="0"/>
          <w:numId w:val="3"/>
        </w:numPr>
        <w:spacing w:after="80"/>
      </w:pPr>
      <w:r>
        <w:rPr>
          <w:b/>
          <w:bCs/>
        </w:rPr>
        <w:t xml:space="preserve">Blue (mean-reverting) bands: </w:t>
      </w:r>
      <w:r>
        <w:t xml:space="preserve">Early 1980s (oil shock aftermath), 2008-2009 (post-crisis), late 2011 (eurozone crisis).</w:t>
      </w:r>
    </w:p>
    <w:p>
      <w:pPr>
        <w:spacing w:after="120"/>
      </w:pPr>
      <w:r>
        <w:t xml:space="preserve">Important misses: the 2005-2007 housing bubble inflation is NOT flagged. MCSI didn't spike during the housing bubble — it was a credit-driven and institutional-driven bubble, not a retail-sentiment-driven one. This is a real limitation of the method, not a bug.</w:t>
      </w:r>
    </w:p>
    <w:p>
      <w:pPr>
        <w:pStyle w:val="Heading2"/>
      </w:pPr>
      <w:r>
        <w:t xml:space="preserve">Table 8: VIX as the trigger</w:t>
      </w:r>
    </w:p>
    <w:p>
      <w:pPr>
        <w:spacing w:after="120"/>
      </w:pPr>
      <w:r>
        <w:t xml:space="preserve">Daily data from 1990. The picture is dramatically different from MCSI:</w:t>
      </w:r>
    </w:p>
    <w:p>
      <w:pPr>
        <w:pStyle w:val="ListParagraph"/>
        <w:numPr>
          <w:ilvl w:val="0"/>
          <w:numId w:val="3"/>
        </w:numPr>
        <w:spacing w:after="80"/>
      </w:pPr>
      <w:r>
        <w:t xml:space="preserve">State 1 covers 99% of observations with slope essentially zero (statistically insignificant)</w:t>
      </w:r>
    </w:p>
    <w:p>
      <w:pPr>
        <w:pStyle w:val="ListParagraph"/>
        <w:numPr>
          <w:ilvl w:val="0"/>
          <w:numId w:val="3"/>
        </w:numPr>
        <w:spacing w:after="80"/>
      </w:pPr>
      <w:r>
        <w:t xml:space="preserve">The technically-efficient state 2 covers only ~0.1% — but state 1 is effectively efficient too</w:t>
      </w:r>
    </w:p>
    <w:p>
      <w:pPr>
        <w:pStyle w:val="ListParagraph"/>
        <w:numPr>
          <w:ilvl w:val="0"/>
          <w:numId w:val="3"/>
        </w:numPr>
        <w:spacing w:after="80"/>
      </w:pPr>
      <w:r>
        <w:t xml:space="preserve">State 3 covers only ~1% of observations, at extreme VIX readings (&gt;55)</w:t>
      </w:r>
    </w:p>
    <w:p>
      <w:pPr>
        <w:pStyle w:val="ListParagraph"/>
        <w:numPr>
          <w:ilvl w:val="0"/>
          <w:numId w:val="3"/>
        </w:numPr>
        <w:spacing w:after="80"/>
      </w:pPr>
      <w:r>
        <w:t xml:space="preserve">The S&amp;P 500 is therefore effectively ~99% efficient under VIX triggering</w:t>
      </w:r>
    </w:p>
    <w:p>
      <w:pPr>
        <w:spacing w:after="120"/>
      </w:pPr>
      <w:r>
        <w:t xml:space="preserve">The key insight: VIX and MCSI detect different kinds of inefficiency. VIX catches crashes (post-Lehman 2008 shows up clearly in Figure 5). MCSI catches bubbles (dot-com). Neither catches both — and neither catches the 2005-2007 housing inflation.</w:t>
      </w:r>
    </w:p>
    <w:p>
      <w:pPr>
        <w:pStyle w:val="Heading2"/>
      </w:pPr>
      <w:r>
        <w:t xml:space="preserve">The asymmetry of bubble vs crash detection</w:t>
      </w:r>
    </w:p>
    <w:p>
      <w:pPr>
        <w:spacing w:after="120"/>
      </w:pPr>
      <w:r>
        <w:t xml:space="preserve">This is one of the most interesting findings, and the paper doesn't fully spell it out:</w:t>
      </w:r>
    </w:p>
    <w:p>
      <w:pPr>
        <w:pStyle w:val="ListParagraph"/>
        <w:numPr>
          <w:ilvl w:val="0"/>
          <w:numId w:val="3"/>
        </w:numPr>
        <w:spacing w:after="80"/>
      </w:pPr>
      <w:r>
        <w:rPr>
          <w:b/>
          <w:bCs/>
        </w:rPr>
        <w:t xml:space="preserve">MCSI catches bubbles, misses crashes: </w:t>
      </w:r>
      <w:r>
        <w:t xml:space="preserve">consumer optimism spikes during run-ups (retail enthusiasm), but doesn't crater fast enough to flag downturns.</w:t>
      </w:r>
    </w:p>
    <w:p>
      <w:pPr>
        <w:pStyle w:val="ListParagraph"/>
        <w:numPr>
          <w:ilvl w:val="0"/>
          <w:numId w:val="3"/>
        </w:numPr>
        <w:spacing w:after="80"/>
      </w:pPr>
      <w:r>
        <w:rPr>
          <w:b/>
          <w:bCs/>
        </w:rPr>
        <w:t xml:space="preserve">VIX catches crashes, misses bubbles: </w:t>
      </w:r>
      <w:r>
        <w:t xml:space="preserve">investor volatility surges during fear episodes, but is calm during bubble inflation. The dot-com run-up coincided with relatively low VIX.</w:t>
      </w:r>
    </w:p>
    <w:p>
      <w:pPr>
        <w:spacing w:after="120"/>
      </w:pPr>
      <w:r>
        <w:t xml:space="preserve">Methodological implication: no single trigger captures all forms of market inefficiency. You probably need a portfolio of triggers, or a composite. Bubbles and crashes likely have different causal mechanisms — retail-driven vs institutional-driven — and require different signals.</w:t>
      </w:r>
    </w:p>
    <w:p>
      <w:pPr>
        <w:pStyle w:val="Heading1"/>
      </w:pPr>
      <w:r>
        <w:t xml:space="preserve">Part 5 — Big-Picture Ideas Worth Carrying Forward</w:t>
      </w:r>
    </w:p>
    <w:p>
      <w:pPr>
        <w:pStyle w:val="Heading2"/>
      </w:pPr>
      <w:r>
        <w:t xml:space="preserve">The framework embeds a particular theory of markets</w:t>
      </w:r>
    </w:p>
    <w:p>
      <w:pPr>
        <w:spacing w:after="120"/>
      </w:pPr>
      <w:r>
        <w:t xml:space="preserve">The methodology assumes markets have a default efficient state and deviations are triggered by external sentiment shocks. This is one view. Alternatives (markets are normally inefficient with occasional efficient episodes; or continuous variation with no discrete states) would suggest different models. By forcing state 2's slope to zero, the procedure can never tell you 'there is no efficient state' — it will always find one. The diagnostic is whether the outer-state slopes are economically and statistically meaningful.</w:t>
      </w:r>
    </w:p>
    <w:p>
      <w:pPr>
        <w:pStyle w:val="Heading2"/>
      </w:pPr>
      <w:r>
        <w:t xml:space="preserve">What the methodology is silent on</w:t>
      </w:r>
    </w:p>
    <w:p>
      <w:pPr>
        <w:spacing w:after="120"/>
      </w:pPr>
      <w:r>
        <w:t xml:space="preserve">The framework can identify explosive episodes but says nothing about why they occurred. If high MCSI predicts high returns because consumers correctly anticipate fundamentals, that's efficient price discovery — not a bubble. If it's herding and exuberance, it's a bubble. Both look identical to this procedure. The metric labels episodes; it doesn't interpret them. This limits policy applications: 'managing expectations to keep markets efficient' is only useful advice if you know which deviations are irrational.</w:t>
      </w:r>
    </w:p>
    <w:p>
      <w:pPr>
        <w:pStyle w:val="Heading2"/>
      </w:pPr>
      <w:r>
        <w:t xml:space="preserve">Practical implications</w:t>
      </w:r>
    </w:p>
    <w:p>
      <w:pPr>
        <w:spacing w:after="120"/>
      </w:pPr>
      <w:r>
        <w:t xml:space="preserve">If a market is mostly efficient, active management is unlikely to add value (passive is rational). If a market spends substantial time in detectable inefficient states, active strategies may have value. The paper provides an input for the active-vs-passive decision conditional on a chosen specification and trigger.</w:t>
      </w:r>
    </w:p>
    <w:p>
      <w:pPr>
        <w:pStyle w:val="Heading2"/>
      </w:pPr>
      <w:r>
        <w:t xml:space="preserve">Limits not addressed in the paper</w:t>
      </w:r>
    </w:p>
    <w:p>
      <w:pPr>
        <w:pStyle w:val="ListParagraph"/>
        <w:numPr>
          <w:ilvl w:val="0"/>
          <w:numId w:val="3"/>
        </w:numPr>
        <w:spacing w:after="80"/>
      </w:pPr>
      <w:r>
        <w:t xml:space="preserve">No out-of-sample validation. All results are in-sample fits. No demonstration the method would have flagged the dot-com bubble in 1999 in real time.</w:t>
      </w:r>
    </w:p>
    <w:p>
      <w:pPr>
        <w:pStyle w:val="ListParagraph"/>
        <w:numPr>
          <w:ilvl w:val="0"/>
          <w:numId w:val="3"/>
        </w:numPr>
        <w:spacing w:after="80"/>
      </w:pPr>
      <w:r>
        <w:t xml:space="preserve">Only tested on equity indices. Claims of applicability to commodities and FX are not demonstrated.</w:t>
      </w:r>
    </w:p>
    <w:p>
      <w:pPr>
        <w:pStyle w:val="ListParagraph"/>
        <w:numPr>
          <w:ilvl w:val="0"/>
          <w:numId w:val="3"/>
        </w:numPr>
        <w:spacing w:after="80"/>
      </w:pPr>
      <w:r>
        <w:t xml:space="preserve">Grid resolution sensitivity not reported. A 200-point grid is used; whether finer/coarser grids would change results is untested.</w:t>
      </w:r>
    </w:p>
    <w:p>
      <w:pPr>
        <w:pStyle w:val="ListParagraph"/>
        <w:numPr>
          <w:ilvl w:val="0"/>
          <w:numId w:val="3"/>
        </w:numPr>
        <w:spacing w:after="80"/>
      </w:pPr>
      <w:r>
        <w:t xml:space="preserve">No comparison with Markov-switching estimation on the same model.</w:t>
      </w:r>
    </w:p>
    <w:p>
      <w:pPr>
        <w:pStyle w:val="Heading1"/>
      </w:pPr>
      <w:r>
        <w:t xml:space="preserve">Part 6 — Applying the Framework to Current Data (May 2026)</w:t>
      </w:r>
    </w:p>
    <w:p>
      <w:pPr>
        <w:spacing w:after="120"/>
      </w:pPr>
      <w:r>
        <w:t xml:space="preserve">An exercise in how the method behaves out-of-sample. Current readings as of May 21, 2026:</w:t>
      </w:r>
    </w:p>
    <w:p>
      <w:pPr>
        <w:pStyle w:val="ListParagraph"/>
        <w:numPr>
          <w:ilvl w:val="0"/>
          <w:numId w:val="3"/>
        </w:numPr>
        <w:spacing w:after="80"/>
      </w:pPr>
      <w:r>
        <w:t xml:space="preserve">MCSI: 48.2 (all-time record low since the index began in 1952)</w:t>
      </w:r>
    </w:p>
    <w:p>
      <w:pPr>
        <w:pStyle w:val="ListParagraph"/>
        <w:numPr>
          <w:ilvl w:val="0"/>
          <w:numId w:val="3"/>
        </w:numPr>
        <w:spacing w:after="80"/>
      </w:pPr>
      <w:r>
        <w:t xml:space="preserve">VIX: ~17.4 (calm)</w:t>
      </w:r>
    </w:p>
    <w:p>
      <w:pPr>
        <w:pStyle w:val="ListParagraph"/>
        <w:numPr>
          <w:ilvl w:val="0"/>
          <w:numId w:val="3"/>
        </w:numPr>
        <w:spacing w:after="80"/>
      </w:pPr>
      <w:r>
        <w:t xml:space="preserve">S&amp;P 500: 7,432.97 (near all-time highs)</w:t>
      </w:r>
    </w:p>
    <w:p>
      <w:pPr>
        <w:pStyle w:val="ListParagraph"/>
        <w:numPr>
          <w:ilvl w:val="0"/>
          <w:numId w:val="3"/>
        </w:numPr>
        <w:spacing w:after="80"/>
      </w:pPr>
      <w:r>
        <w:t xml:space="preserve">FTSE 100: ~10,432 (also near all-time highs)</w:t>
      </w:r>
    </w:p>
    <w:p>
      <w:pPr>
        <w:pStyle w:val="Heading2"/>
      </w:pPr>
      <w:r>
        <w:t xml:space="preserve">Applying the MCSI thresholds (Table 7, switching drift)</w:t>
      </w:r>
    </w:p>
    <w:p>
      <w:pPr>
        <w:spacing w:after="120"/>
      </w:pPr>
      <w:r>
        <w:t xml:space="preserve">Estimated thresholds were c_1 = 59.7 and c_2 = 107.5. Current MCSI of 48.2 is below c_1 — significantly below, by 11+ points. The model would say the S&amp;P 500 is currently in the mean-reverting state, predicting α_1 = 0.18, β_1 = −0.037 — slight downward pull. Yet prices are at all-time highs. The model is being asked to extrapolate outside the calibration range — MCSI rarely went below 60 in the 1978-2015 estimation sample.</w:t>
      </w:r>
    </w:p>
    <w:p>
      <w:pPr>
        <w:pStyle w:val="Heading2"/>
      </w:pPr>
      <w:r>
        <w:t xml:space="preserve">Applying the VIX thresholds (Table 8, switching drift)</w:t>
      </w:r>
    </w:p>
    <w:p>
      <w:pPr>
        <w:spacing w:after="120"/>
      </w:pPr>
      <w:r>
        <w:t xml:space="preserve">Estimated thresholds were c_1 = 53.72 and c_2 = 55.52. Current VIX of 17.4 is deep in state 1, which had slope ~ 0 (efficient). VIX framework verdict: no detectable inefficiency right now.</w:t>
      </w:r>
    </w:p>
    <w:p>
      <w:pPr>
        <w:pStyle w:val="Heading2"/>
      </w:pPr>
      <w:r>
        <w:t xml:space="preserve">Reading the contradiction</w:t>
      </w:r>
    </w:p>
    <w:p>
      <w:pPr>
        <w:spacing w:after="120"/>
      </w:pPr>
      <w:r>
        <w:t xml:space="preserve">MCSI is flashing red (mean-reverting territory). VIX is showing all-clear. Three reasons the MCSI signal is suspect:</w:t>
      </w:r>
    </w:p>
    <w:p>
      <w:pPr>
        <w:pStyle w:val="ListParagraph"/>
        <w:numPr>
          <w:ilvl w:val="0"/>
          <w:numId w:val="2"/>
        </w:numPr>
        <w:spacing w:after="80"/>
      </w:pPr>
      <w:r>
        <w:t xml:space="preserve">Out-of-sample extrapolation. 48.2 is below anything observed in the estimation sample.</w:t>
      </w:r>
    </w:p>
    <w:p>
      <w:pPr>
        <w:pStyle w:val="ListParagraph"/>
        <w:numPr>
          <w:ilvl w:val="0"/>
          <w:numId w:val="2"/>
        </w:numPr>
        <w:spacing w:after="80"/>
      </w:pPr>
      <w:r>
        <w:t xml:space="preserve">Sentiment-price decoupling. Current pessimism is driven by tariffs, gasoline prices, and macro concerns — not equity-market beliefs. Equity returns are driven by concentrated AI/tech exposure, largely institutional rather than retail.</w:t>
      </w:r>
    </w:p>
    <w:p>
      <w:pPr>
        <w:pStyle w:val="ListParagraph"/>
        <w:numPr>
          <w:ilvl w:val="0"/>
          <w:numId w:val="2"/>
        </w:numPr>
        <w:spacing w:after="80"/>
      </w:pPr>
      <w:r>
        <w:t xml:space="preserve">Wrong-direction bubble. The paper's MCSI mechanism is high-sentiment-causes-bubble. The current setup (high prices, low sentiment) doesn't fit the trained mechanism at all.</w:t>
      </w:r>
    </w:p>
    <w:p>
      <w:pPr>
        <w:pStyle w:val="Heading2"/>
      </w:pPr>
      <w:r>
        <w:t xml:space="preserve">The verdict</w:t>
      </w:r>
    </w:p>
    <w:p>
      <w:pPr>
        <w:spacing w:after="120"/>
      </w:pPr>
      <w:r>
        <w:t xml:space="preserve">Applied literally, neither trigger flags a bubble. MCSI says mean-revert (suspect signal); VIX says efficient. But the absence of a flag isn't evidence of efficiency — it may just mean these triggers, calibrated on 1978-2015 data, aren't well-suited to the current market structure. If current bubble narratives are about valuations (Shiller CAPE, AI concentration) rather than sentiment, the paper's framework is blind by construction.</w:t>
      </w:r>
    </w:p>
    <w:p>
      <w:pPr>
        <w:pStyle w:val="Heading1"/>
      </w:pPr>
      <w:r>
        <w:t xml:space="preserve">Part 7 — Implementation Plan (R/Python)</w:t>
      </w:r>
    </w:p>
    <w:p>
      <w:pPr>
        <w:pStyle w:val="Heading2"/>
      </w:pPr>
      <w:r>
        <w:t xml:space="preserve">What the algorithm needs to do</w:t>
      </w:r>
    </w:p>
    <w:p>
      <w:pPr>
        <w:spacing w:after="120"/>
      </w:pPr>
      <w:r>
        <w:t xml:space="preserve">Inputs:</w:t>
      </w:r>
    </w:p>
    <w:p>
      <w:pPr>
        <w:pStyle w:val="ListParagraph"/>
        <w:numPr>
          <w:ilvl w:val="0"/>
          <w:numId w:val="3"/>
        </w:numPr>
        <w:spacing w:after="80"/>
      </w:pPr>
      <w:r>
        <w:t xml:space="preserve">Price series {p_t} (e.g. S&amp;P 500 monthly closes)</w:t>
      </w:r>
    </w:p>
    <w:p>
      <w:pPr>
        <w:pStyle w:val="ListParagraph"/>
        <w:numPr>
          <w:ilvl w:val="0"/>
          <w:numId w:val="3"/>
        </w:numPr>
        <w:spacing w:after="80"/>
      </w:pPr>
      <w:r>
        <w:t xml:space="preserve">Trigger series {Z_t} aligned in time with p_t (e.g. MCSI)</w:t>
      </w:r>
    </w:p>
    <w:p>
      <w:pPr>
        <w:pStyle w:val="ListParagraph"/>
        <w:numPr>
          <w:ilvl w:val="0"/>
          <w:numId w:val="3"/>
        </w:numPr>
        <w:spacing w:after="80"/>
      </w:pPr>
      <w:r>
        <w:t xml:space="preserve">Grid resolution n (e.g. 200 points spanning the trigger's range)</w:t>
      </w:r>
    </w:p>
    <w:p>
      <w:pPr>
        <w:pStyle w:val="ListParagraph"/>
        <w:numPr>
          <w:ilvl w:val="0"/>
          <w:numId w:val="3"/>
        </w:numPr>
        <w:spacing w:after="80"/>
      </w:pPr>
      <w:r>
        <w:t xml:space="preserve">Specification choice: switching drift, constant drift, or no drift</w:t>
      </w:r>
    </w:p>
    <w:p>
      <w:pPr>
        <w:spacing w:after="120"/>
      </w:pPr>
      <w:r>
        <w:t xml:space="preserve">Pre-processing:</w:t>
      </w:r>
    </w:p>
    <w:p>
      <w:pPr>
        <w:pStyle w:val="ListParagraph"/>
        <w:numPr>
          <w:ilvl w:val="0"/>
          <w:numId w:val="3"/>
        </w:numPr>
        <w:spacing w:after="80"/>
      </w:pPr>
      <w:r>
        <w:t xml:space="preserve">Compute Δp_t = p_t − p_{t-1} for t = 2, …, T</w:t>
      </w:r>
    </w:p>
    <w:p>
      <w:pPr>
        <w:pStyle w:val="ListParagraph"/>
        <w:numPr>
          <w:ilvl w:val="0"/>
          <w:numId w:val="3"/>
        </w:numPr>
        <w:spacing w:after="80"/>
      </w:pPr>
      <w:r>
        <w:t xml:space="preserve">Build triples (Δp_t, p_{t-1}, Z_{t-1}) — note the lag on Z</w:t>
      </w:r>
    </w:p>
    <w:p>
      <w:pPr>
        <w:pStyle w:val="ListParagraph"/>
        <w:numPr>
          <w:ilvl w:val="0"/>
          <w:numId w:val="3"/>
        </w:numPr>
        <w:spacing w:after="80"/>
      </w:pPr>
      <w:r>
        <w:t xml:space="preserve">Define grid {m_1, …, m_n} evenly spaced across Z's range</w:t>
      </w:r>
    </w:p>
    <w:p>
      <w:pPr>
        <w:spacing w:after="120"/>
      </w:pPr>
      <w:r>
        <w:t xml:space="preserve">Core algorithm (pseudocode):</w:t>
      </w:r>
    </w:p>
    <w:p>
      <w:pPr>
        <w:spacing w:after="120" w:before="120"/>
      </w:pPr>
      <w:r>
        <w:rPr>
          <w:rFonts w:ascii="Courier New" w:cs="Courier New" w:eastAsia="Courier New" w:hAnsi="Courier New"/>
          <w:sz w:val="18"/>
          <w:szCs w:val="18"/>
        </w:rPr>
        <w:t xml:space="preserve">best_SSR = ∞
for i = 1 to n-1:
    for j = i+1 to n:
        c1, c2 = grid[i], grid[j]
        S1 = {t : Z_{t-1} &lt; c1}
        S2 = {t : c1 ≤ Z_{t-1} &lt; c2}
        S3 = {t : Z_{t-1} ≥ c2}
        if min(|S1|,|S2|,|S3|) &lt; 3: continue
        fit OLS on each sub-sample (β_2 forced to 0)
        total_SSR = RSS1 + RSS2 + RSS3
        if total_SSR &lt; best_SSR:
            update best_SSR, best_(c1,c2), best_params
return ĉ_1, ĉ_2, parameters</w:t>
      </w:r>
    </w:p>
    <w:p>
      <w:pPr>
        <w:spacing w:after="120"/>
      </w:pPr>
      <w:r>
        <w:t xml:space="preserve">Outputs:</w:t>
      </w:r>
    </w:p>
    <w:p>
      <w:pPr>
        <w:pStyle w:val="ListParagraph"/>
        <w:numPr>
          <w:ilvl w:val="0"/>
          <w:numId w:val="3"/>
        </w:numPr>
        <w:spacing w:after="80"/>
      </w:pPr>
      <w:r>
        <w:t xml:space="preserve">Estimated thresholds ĉ_1, ĉ_2</w:t>
      </w:r>
    </w:p>
    <w:p>
      <w:pPr>
        <w:pStyle w:val="ListParagraph"/>
        <w:numPr>
          <w:ilvl w:val="0"/>
          <w:numId w:val="3"/>
        </w:numPr>
        <w:spacing w:after="80"/>
      </w:pPr>
      <w:r>
        <w:t xml:space="preserve">Estimated drift and slope per state with standard errors</w:t>
      </w:r>
    </w:p>
    <w:p>
      <w:pPr>
        <w:pStyle w:val="ListParagraph"/>
        <w:numPr>
          <w:ilvl w:val="0"/>
          <w:numId w:val="3"/>
        </w:numPr>
        <w:spacing w:after="80"/>
      </w:pPr>
      <w:r>
        <w:t xml:space="preserve">Efficiency proportion n_2 / (n_1 + n_2 + n_3)</w:t>
      </w:r>
    </w:p>
    <w:p>
      <w:pPr>
        <w:pStyle w:val="ListParagraph"/>
        <w:numPr>
          <w:ilvl w:val="0"/>
          <w:numId w:val="3"/>
        </w:numPr>
        <w:spacing w:after="80"/>
      </w:pPr>
      <w:r>
        <w:t xml:space="preserve">Stationarity criterion value Σ π_j ln|β_j|</w:t>
      </w:r>
    </w:p>
    <w:p>
      <w:pPr>
        <w:pStyle w:val="ListParagraph"/>
        <w:numPr>
          <w:ilvl w:val="0"/>
          <w:numId w:val="3"/>
        </w:numPr>
        <w:spacing w:after="80"/>
      </w:pPr>
      <w:r>
        <w:t xml:space="preserve">Time-series plot with regimes shaded</w:t>
      </w:r>
    </w:p>
    <w:p>
      <w:pPr>
        <w:pStyle w:val="Heading2"/>
      </w:pPr>
      <w:r>
        <w:t xml:space="preserve">R or Python?</w:t>
      </w:r>
    </w:p>
    <w:p>
      <w:pPr>
        <w:spacing w:after="120"/>
      </w:pPr>
      <w:r>
        <w:t xml:space="preserve">Both work. Python is the recommended default: numpy/pandas for data, statsmodels for OLS with full diagnostics, matplotlib for the shaded time-series plots, easy vectorisation of the grid search. R is fine if more comfortable — lm() is concise and ggplot2 is arguably nicer for figures, but avoid the tsDyn package since the point is to demonstrate understanding rather than call a black box.</w:t>
      </w:r>
    </w:p>
    <w:p>
      <w:pPr>
        <w:pStyle w:val="Heading2"/>
      </w:pPr>
      <w:r>
        <w:t xml:space="preserve">Computational considerations</w:t>
      </w:r>
    </w:p>
    <w:p>
      <w:pPr>
        <w:spacing w:after="120"/>
      </w:pPr>
      <w:r>
        <w:t xml:space="preserve">A 200-point grid with two thresholds gives ≈ 19,900 candidate pairs, each requiring three OLS fits. With monthly data this takes seconds. For daily VIX data (~6,500 observations), pre-computing cumulative sums or sorting by Z and using incremental updates drops runtime from O(n² · T) to O(n² + T log T). Not strictly necessary, but worth knowing.</w:t>
      </w:r>
    </w:p>
    <w:p>
      <w:pPr>
        <w:pStyle w:val="Heading2"/>
      </w:pPr>
      <w:r>
        <w:t xml:space="preserve">Suggested project structure</w:t>
      </w:r>
    </w:p>
    <w:p>
      <w:pPr>
        <w:spacing w:after="120" w:before="120"/>
      </w:pPr>
      <w:r>
        <w:rPr>
          <w:rFonts w:ascii="Courier New" w:cs="Courier New" w:eastAsia="Courier New" w:hAnsi="Courier New"/>
          <w:sz w:val="18"/>
          <w:szCs w:val="18"/>
        </w:rPr>
        <w:t xml:space="preserve">project/
├── data/                    (sp500.csv, ftse100.csv, mcsi.csv, vix.csv)
├── src/
│   ├── data_loader.py       (load and align price + trigger)
│   ├── threshold_estimator.py  (grid search algorithm)
│   ├── diagnostics.py       (SE, stationarity criterion)
│   └── plotting.py          (regime-shaded plots)
├── notebooks/
│   └── analysis.ipynb       (replicate Table 7, Figures 2-3)
└── results/</w:t>
      </w:r>
    </w:p>
    <w:p>
      <w:pPr>
        <w:pStyle w:val="Heading2"/>
      </w:pPr>
      <w:r>
        <w:t xml:space="preserve">Build in stages</w:t>
      </w:r>
    </w:p>
    <w:p>
      <w:pPr>
        <w:pStyle w:val="ListParagraph"/>
        <w:numPr>
          <w:ilvl w:val="0"/>
          <w:numId w:val="2"/>
        </w:numPr>
        <w:spacing w:after="80"/>
      </w:pPr>
      <w:r>
        <w:t xml:space="preserve">Load data. Reproduce Figure 1 (MCSI vs S&amp;P 500 overlay). If it matches the paper, your data are correct.</w:t>
      </w:r>
    </w:p>
    <w:p>
      <w:pPr>
        <w:pStyle w:val="ListParagraph"/>
        <w:numPr>
          <w:ilvl w:val="0"/>
          <w:numId w:val="2"/>
        </w:numPr>
        <w:spacing w:after="80"/>
      </w:pPr>
      <w:r>
        <w:t xml:space="preserve">Implement single-threshold TAR(1) with no drift. Verify on a small simulated example with known parameters.</w:t>
      </w:r>
    </w:p>
    <w:p>
      <w:pPr>
        <w:pStyle w:val="ListParagraph"/>
        <w:numPr>
          <w:ilvl w:val="0"/>
          <w:numId w:val="2"/>
        </w:numPr>
        <w:spacing w:after="80"/>
      </w:pPr>
      <w:r>
        <w:t xml:space="preserve">Extend to two thresholds (three states).</w:t>
      </w:r>
    </w:p>
    <w:p>
      <w:pPr>
        <w:pStyle w:val="ListParagraph"/>
        <w:numPr>
          <w:ilvl w:val="0"/>
          <w:numId w:val="2"/>
        </w:numPr>
        <w:spacing w:after="80"/>
      </w:pPr>
      <w:r>
        <w:t xml:space="preserve">Add the three drift specifications.</w:t>
      </w:r>
    </w:p>
    <w:p>
      <w:pPr>
        <w:pStyle w:val="ListParagraph"/>
        <w:numPr>
          <w:ilvl w:val="0"/>
          <w:numId w:val="2"/>
        </w:numPr>
        <w:spacing w:after="80"/>
      </w:pPr>
      <w:r>
        <w:t xml:space="preserve">Add standard errors, significance tests, and the stationarity criterion.</w:t>
      </w:r>
    </w:p>
    <w:p>
      <w:pPr>
        <w:pStyle w:val="ListParagraph"/>
        <w:numPr>
          <w:ilvl w:val="0"/>
          <w:numId w:val="2"/>
        </w:numPr>
        <w:spacing w:after="80"/>
      </w:pPr>
      <w:r>
        <w:t xml:space="preserve">Replicate Table 7 with MCSI.</w:t>
      </w:r>
    </w:p>
    <w:p>
      <w:pPr>
        <w:pStyle w:val="ListParagraph"/>
        <w:numPr>
          <w:ilvl w:val="0"/>
          <w:numId w:val="2"/>
        </w:numPr>
        <w:spacing w:after="80"/>
      </w:pPr>
      <w:r>
        <w:t xml:space="preserve">Replicate Table 8 with VIX as a robustness check.</w:t>
      </w:r>
    </w:p>
    <w:p>
      <w:pPr>
        <w:pStyle w:val="Heading2"/>
      </w:pPr>
      <w:r>
        <w:t xml:space="preserve">Questions to clarify before coding</w:t>
      </w:r>
    </w:p>
    <w:p>
      <w:pPr>
        <w:pStyle w:val="ListParagraph"/>
        <w:numPr>
          <w:ilvl w:val="0"/>
          <w:numId w:val="3"/>
        </w:numPr>
        <w:spacing w:after="80"/>
      </w:pPr>
      <w:r>
        <w:rPr>
          <w:b/>
          <w:bCs/>
        </w:rPr>
        <w:t xml:space="preserve">Dependent variable: </w:t>
      </w:r>
      <w:r>
        <w:t xml:space="preserve">the paper says 'returns' in Section 4.2 but equation 22 uses simple differences. Are you using log returns or simple differences? Check the MATLAB code.</w:t>
      </w:r>
    </w:p>
    <w:p>
      <w:pPr>
        <w:pStyle w:val="ListParagraph"/>
        <w:numPr>
          <w:ilvl w:val="0"/>
          <w:numId w:val="3"/>
        </w:numPr>
        <w:spacing w:after="80"/>
      </w:pPr>
      <w:r>
        <w:rPr>
          <w:b/>
          <w:bCs/>
        </w:rPr>
        <w:t xml:space="preserve">Daily VIX alignment: </w:t>
      </w:r>
      <w:r>
        <w:t xml:space="preserve">for daily data, does Z_{t-1} mean previous trading day's close? Verify.</w:t>
      </w:r>
    </w:p>
    <w:p>
      <w:pPr>
        <w:pStyle w:val="ListParagraph"/>
        <w:numPr>
          <w:ilvl w:val="0"/>
          <w:numId w:val="3"/>
        </w:numPr>
        <w:spacing w:after="80"/>
      </w:pPr>
      <w:r>
        <w:rPr>
          <w:b/>
          <w:bCs/>
        </w:rPr>
        <w:t xml:space="preserve">Standard errors on thresholds: </w:t>
      </w:r>
      <w:r>
        <w:t xml:space="preserve">the paper reports SEs on parameter estimates but not on ĉ_1, ĉ_2. Their distribution is non-standard. Probably skip unless your professor asks.</w:t>
      </w:r>
    </w:p>
    <w:p>
      <w:pPr>
        <w:pStyle w:val="ListParagraph"/>
        <w:numPr>
          <w:ilvl w:val="0"/>
          <w:numId w:val="3"/>
        </w:numPr>
        <w:spacing w:after="80"/>
      </w:pPr>
      <w:r>
        <w:rPr>
          <w:b/>
          <w:bCs/>
        </w:rPr>
        <w:t xml:space="preserve">Constant-drift specification: </w:t>
      </w:r>
      <w:r>
        <w:t xml:space="preserve">this is technically a constrained joint regression across all three sub-samples (single α shared). Slightly more involved than the switching-drift case — set up carefully.</w:t>
      </w:r>
    </w:p>
    <w:p>
      <w:pPr>
        <w:pStyle w:val="Heading1"/>
      </w:pPr>
      <w:r>
        <w:t xml:space="preserve">Part 8 — Review Questions (Self-Test)</w:t>
      </w:r>
    </w:p>
    <w:p>
      <w:pPr>
        <w:spacing w:after="120"/>
      </w:pPr>
      <w:r>
        <w:t xml:space="preserve">Use these to test your understanding before sitting down to code.</w:t>
      </w:r>
    </w:p>
    <w:p>
      <w:pPr>
        <w:pStyle w:val="ListParagraph"/>
        <w:numPr>
          <w:ilvl w:val="0"/>
          <w:numId w:val="2"/>
        </w:numPr>
        <w:spacing w:after="80"/>
      </w:pPr>
      <w:r>
        <w:t xml:space="preserve">Why is the model written in difference form rather than levels?</w:t>
      </w:r>
    </w:p>
    <w:p>
      <w:pPr>
        <w:pStyle w:val="ListParagraph"/>
        <w:numPr>
          <w:ilvl w:val="0"/>
          <w:numId w:val="2"/>
        </w:numPr>
        <w:spacing w:after="80"/>
      </w:pPr>
      <w:r>
        <w:t xml:space="preserve">What does forcing β_2 = 0 achieve, and why is it the identification strategy?</w:t>
      </w:r>
    </w:p>
    <w:p>
      <w:pPr>
        <w:pStyle w:val="ListParagraph"/>
        <w:numPr>
          <w:ilvl w:val="0"/>
          <w:numId w:val="2"/>
        </w:numPr>
        <w:spacing w:after="80"/>
      </w:pPr>
      <w:r>
        <w:t xml:space="preserve">Why is Z lagged (Z_{t-1} instead of Z_t)?</w:t>
      </w:r>
    </w:p>
    <w:p>
      <w:pPr>
        <w:pStyle w:val="ListParagraph"/>
        <w:numPr>
          <w:ilvl w:val="0"/>
          <w:numId w:val="2"/>
        </w:numPr>
        <w:spacing w:after="80"/>
      </w:pPr>
      <w:r>
        <w:t xml:space="preserve">In what sense is a sub-sample not the same as a time window?</w:t>
      </w:r>
    </w:p>
    <w:p>
      <w:pPr>
        <w:pStyle w:val="ListParagraph"/>
        <w:numPr>
          <w:ilvl w:val="0"/>
          <w:numId w:val="2"/>
        </w:numPr>
        <w:spacing w:after="80"/>
      </w:pPr>
      <w:r>
        <w:t xml:space="preserve">Explain why the switching-drift specification can make the same series look more efficient than the no-drift specification.</w:t>
      </w:r>
    </w:p>
    <w:p>
      <w:pPr>
        <w:pStyle w:val="ListParagraph"/>
        <w:numPr>
          <w:ilvl w:val="0"/>
          <w:numId w:val="2"/>
        </w:numPr>
        <w:spacing w:after="80"/>
      </w:pPr>
      <w:r>
        <w:t xml:space="preserve">What is the stationarity criterion, and why can it be satisfied even when one regime has β &gt; 1?</w:t>
      </w:r>
    </w:p>
    <w:p>
      <w:pPr>
        <w:pStyle w:val="ListParagraph"/>
        <w:numPr>
          <w:ilvl w:val="0"/>
          <w:numId w:val="2"/>
        </w:numPr>
        <w:spacing w:after="80"/>
      </w:pPr>
      <w:r>
        <w:t xml:space="preserve">Why does the GSADF test lose power when the process has a stationary distribution?</w:t>
      </w:r>
    </w:p>
    <w:p>
      <w:pPr>
        <w:pStyle w:val="ListParagraph"/>
        <w:numPr>
          <w:ilvl w:val="0"/>
          <w:numId w:val="2"/>
        </w:numPr>
        <w:spacing w:after="80"/>
      </w:pPr>
      <w:r>
        <w:t xml:space="preserve">Why does MCSI catch the dot-com bubble but miss the 2005-2007 housing bubble?</w:t>
      </w:r>
    </w:p>
    <w:p>
      <w:pPr>
        <w:pStyle w:val="ListParagraph"/>
        <w:numPr>
          <w:ilvl w:val="0"/>
          <w:numId w:val="2"/>
        </w:numPr>
        <w:spacing w:after="80"/>
      </w:pPr>
      <w:r>
        <w:t xml:space="preserve">Why does VIX miss the dot-com bubble?</w:t>
      </w:r>
    </w:p>
    <w:p>
      <w:pPr>
        <w:pStyle w:val="ListParagraph"/>
        <w:numPr>
          <w:ilvl w:val="0"/>
          <w:numId w:val="2"/>
        </w:numPr>
        <w:spacing w:after="80"/>
      </w:pPr>
      <w:r>
        <w:t xml:space="preserve">Under what circumstances does the paper's efficiency metric overstate efficiency in the everyday economic sense?</w:t>
      </w:r>
    </w:p>
    <w:p>
      <w:r>
        <w:t xml:space="preserve"/>
      </w:r>
    </w:p>
    <w:p>
      <w:pPr>
        <w:spacing w:before="240"/>
        <w:jc w:val="center"/>
      </w:pPr>
      <w:r>
        <w:rPr>
          <w:i/>
          <w:iCs/>
          <w:sz w:val="22"/>
          <w:szCs w:val="22"/>
        </w:rPr>
        <w:t xml:space="preserve">— End of Handout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2026-05-22T13:07:49.633Z</dcterms:created>
  <dcterms:modified xsi:type="dcterms:W3CDTF">2026-05-22T13:07:49.633Z</dcterms:modified>
</cp:coreProperties>
</file>

<file path=docProps/custom.xml><?xml version="1.0" encoding="utf-8"?>
<Properties xmlns="http://schemas.openxmlformats.org/officeDocument/2006/custom-properties" xmlns:vt="http://schemas.openxmlformats.org/officeDocument/2006/docPropsVTypes"/>
</file>