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C73C" w14:textId="77777777" w:rsidR="00465C68" w:rsidRPr="00465C68" w:rsidRDefault="00465C68" w:rsidP="00465C68">
      <w:r w:rsidRPr="00465C68">
        <w:rPr>
          <w:b/>
          <w:bCs/>
        </w:rPr>
        <w:t>Title (working):</w:t>
      </w:r>
      <w:r w:rsidRPr="00465C68">
        <w:t xml:space="preserve"> Market Efficiency as a State Across Global Equity Markets: A Threshold-Autoregressive Panel Extension of Ahmed and Satchell (2018)</w:t>
      </w:r>
    </w:p>
    <w:p w14:paraId="003D0711" w14:textId="77777777" w:rsidR="00465C68" w:rsidRPr="00465C68" w:rsidRDefault="00465C68" w:rsidP="00465C68">
      <w:r w:rsidRPr="00465C68">
        <w:rPr>
          <w:b/>
          <w:bCs/>
        </w:rPr>
        <w:t>1. Introduction</w:t>
      </w:r>
    </w:p>
    <w:p w14:paraId="4044C87B" w14:textId="77777777" w:rsidR="00465C68" w:rsidRPr="00465C68" w:rsidRDefault="00465C68" w:rsidP="00465C68">
      <w:pPr>
        <w:numPr>
          <w:ilvl w:val="0"/>
          <w:numId w:val="1"/>
        </w:numPr>
      </w:pPr>
      <w:r w:rsidRPr="00465C68">
        <w:t>Efficiency as a state, not a binary verdict: the TAR framing and why the original two-index illustration leaves open questions</w:t>
      </w:r>
    </w:p>
    <w:p w14:paraId="29CBDE18" w14:textId="77777777" w:rsidR="00465C68" w:rsidRPr="00465C68" w:rsidRDefault="00465C68" w:rsidP="00465C68">
      <w:pPr>
        <w:numPr>
          <w:ilvl w:val="0"/>
          <w:numId w:val="1"/>
        </w:numPr>
      </w:pPr>
      <w:r w:rsidRPr="00465C68">
        <w:t>Three contributions: panel extension to 23 admissible markets, trigger-selection methodology with a localised-trigger boundary, out-of-sample horizon return validation</w:t>
      </w:r>
    </w:p>
    <w:p w14:paraId="0D14048E" w14:textId="77777777" w:rsidR="00465C68" w:rsidRPr="00465C68" w:rsidRDefault="00465C68" w:rsidP="00465C68">
      <w:pPr>
        <w:numPr>
          <w:ilvl w:val="0"/>
          <w:numId w:val="1"/>
        </w:numPr>
      </w:pPr>
      <w:r w:rsidRPr="00465C68">
        <w:t>Roadmap of the paper</w:t>
      </w:r>
    </w:p>
    <w:p w14:paraId="53FF7A26" w14:textId="77777777" w:rsidR="00465C68" w:rsidRPr="00465C68" w:rsidRDefault="00465C68" w:rsidP="00465C68">
      <w:r w:rsidRPr="00465C68">
        <w:rPr>
          <w:b/>
          <w:bCs/>
        </w:rPr>
        <w:t>2. Literature Review</w:t>
      </w:r>
      <w:r w:rsidRPr="00465C68">
        <w:t xml:space="preserve"> (existing verified draft, to be refined, not rewritten)</w:t>
      </w:r>
    </w:p>
    <w:p w14:paraId="0AFDF759" w14:textId="77777777" w:rsidR="00465C68" w:rsidRPr="00465C68" w:rsidRDefault="00465C68" w:rsidP="00465C68">
      <w:pPr>
        <w:numPr>
          <w:ilvl w:val="0"/>
          <w:numId w:val="2"/>
        </w:numPr>
      </w:pPr>
      <w:r w:rsidRPr="00465C68">
        <w:t>Pillar 1: efficiency from binary to time-varying and state-based (AMH and 2020+ evidence)</w:t>
      </w:r>
    </w:p>
    <w:p w14:paraId="4C06C841" w14:textId="77777777" w:rsidR="00465C68" w:rsidRPr="00465C68" w:rsidRDefault="00465C68" w:rsidP="00465C68">
      <w:pPr>
        <w:numPr>
          <w:ilvl w:val="0"/>
          <w:numId w:val="2"/>
        </w:numPr>
      </w:pPr>
      <w:r w:rsidRPr="00465C68">
        <w:t>Pillar 2: explosiveness and bubble testing, including power limits of GSADF-style tests</w:t>
      </w:r>
    </w:p>
    <w:p w14:paraId="3B3D44EC" w14:textId="77777777" w:rsidR="00465C68" w:rsidRPr="00465C68" w:rsidRDefault="00465C68" w:rsidP="00465C68">
      <w:pPr>
        <w:numPr>
          <w:ilvl w:val="0"/>
          <w:numId w:val="2"/>
        </w:numPr>
      </w:pPr>
      <w:r w:rsidRPr="00465C68">
        <w:t>Research gap: panel breadth, systematic trigger selection, forward-return validation</w:t>
      </w:r>
    </w:p>
    <w:p w14:paraId="3889ED5F" w14:textId="77777777" w:rsidR="00465C68" w:rsidRPr="00465C68" w:rsidRDefault="00465C68" w:rsidP="00465C68">
      <w:r w:rsidRPr="00465C68">
        <w:rPr>
          <w:b/>
          <w:bCs/>
        </w:rPr>
        <w:t>3. Methodology</w:t>
      </w:r>
    </w:p>
    <w:p w14:paraId="1E6434F9" w14:textId="77777777" w:rsidR="00465C68" w:rsidRPr="00465C68" w:rsidRDefault="00465C68" w:rsidP="00465C68">
      <w:pPr>
        <w:numPr>
          <w:ilvl w:val="0"/>
          <w:numId w:val="3"/>
        </w:numPr>
      </w:pPr>
      <w:r w:rsidRPr="00465C68">
        <w:t>The Ahmed and Satchell (2018) TAR framework restated with attribution: three regimes, double grid search over (c1, c2), restricted middle state, proportion-of-time metric</w:t>
      </w:r>
    </w:p>
    <w:p w14:paraId="0550F7AC" w14:textId="77777777" w:rsidR="00465C68" w:rsidRPr="00465C68" w:rsidRDefault="00465C68" w:rsidP="00465C68">
      <w:pPr>
        <w:numPr>
          <w:ilvl w:val="0"/>
          <w:numId w:val="3"/>
        </w:numPr>
      </w:pPr>
      <w:r w:rsidRPr="00465C68">
        <w:t>Trigger selection: threshold stationarity as the decisive criterion (MCSI instability versus amplitude-adjusted Global OECD CCI), reverse-Granger exogeneity screen</w:t>
      </w:r>
    </w:p>
    <w:p w14:paraId="0E3A3257" w14:textId="77777777" w:rsidR="00465C68" w:rsidRPr="00465C68" w:rsidRDefault="00465C68" w:rsidP="00465C68">
      <w:pPr>
        <w:numPr>
          <w:ilvl w:val="0"/>
          <w:numId w:val="3"/>
        </w:numPr>
      </w:pPr>
      <w:r w:rsidRPr="00465C68">
        <w:t>Sample cascade: 48 candidates, 27 pass exogeneity, 23 admissible at T ≥ 340; estimation and inference details (HAC, Welch tests for the horizon test)</w:t>
      </w:r>
    </w:p>
    <w:p w14:paraId="69A9F790" w14:textId="77777777" w:rsidR="00465C68" w:rsidRPr="00465C68" w:rsidRDefault="00465C68" w:rsidP="00465C68">
      <w:r w:rsidRPr="00465C68">
        <w:rPr>
          <w:b/>
          <w:bCs/>
        </w:rPr>
        <w:t>4. Cross-Market Regime Classification</w:t>
      </w:r>
      <w:r w:rsidRPr="00465C68">
        <w:t xml:space="preserve"> (results, part 1)</w:t>
      </w:r>
    </w:p>
    <w:p w14:paraId="388B45DA" w14:textId="77777777" w:rsidR="00465C68" w:rsidRPr="00465C68" w:rsidRDefault="00465C68" w:rsidP="00465C68">
      <w:pPr>
        <w:numPr>
          <w:ilvl w:val="0"/>
          <w:numId w:val="4"/>
        </w:numPr>
      </w:pPr>
      <w:r w:rsidRPr="00465C68">
        <w:t>Threshold consistency across the panel (c1 and c2 clusters) as the basis for comparability</w:t>
      </w:r>
    </w:p>
    <w:p w14:paraId="52037D4F" w14:textId="77777777" w:rsidR="00465C68" w:rsidRPr="00465C68" w:rsidRDefault="00465C68" w:rsidP="00465C68">
      <w:pPr>
        <w:numPr>
          <w:ilvl w:val="0"/>
          <w:numId w:val="4"/>
        </w:numPr>
      </w:pPr>
      <w:r w:rsidRPr="00465C68">
        <w:t>Time-in-RW ranking and the verdict taxonomy (both tails, euphoria gauge, fear gauge)</w:t>
      </w:r>
    </w:p>
    <w:p w14:paraId="6AEB139E" w14:textId="77777777" w:rsidR="00465C68" w:rsidRPr="00465C68" w:rsidRDefault="00465C68" w:rsidP="00465C68">
      <w:pPr>
        <w:numPr>
          <w:ilvl w:val="0"/>
          <w:numId w:val="4"/>
        </w:numPr>
      </w:pPr>
      <w:r w:rsidRPr="00465C68">
        <w:t>Representative case studies: Hong Kong, Japan, mainland China</w:t>
      </w:r>
    </w:p>
    <w:p w14:paraId="575C7F05" w14:textId="77777777" w:rsidR="00465C68" w:rsidRPr="00465C68" w:rsidRDefault="00465C68" w:rsidP="00465C68">
      <w:r w:rsidRPr="00465C68">
        <w:rPr>
          <w:b/>
          <w:bCs/>
        </w:rPr>
        <w:t>5. The Framework's Appropriate Domain</w:t>
      </w:r>
      <w:r w:rsidRPr="00465C68">
        <w:t xml:space="preserve"> (results, part 2, key contribution)</w:t>
      </w:r>
    </w:p>
    <w:p w14:paraId="1281CEF1" w14:textId="77777777" w:rsidR="00465C68" w:rsidRPr="00465C68" w:rsidRDefault="00465C68" w:rsidP="00465C68">
      <w:pPr>
        <w:numPr>
          <w:ilvl w:val="0"/>
          <w:numId w:val="5"/>
        </w:numPr>
      </w:pPr>
      <w:r w:rsidRPr="00465C68">
        <w:lastRenderedPageBreak/>
        <w:t>Motivation: crises hidden inside the efficient band (Spain)</w:t>
      </w:r>
    </w:p>
    <w:p w14:paraId="18ECAB26" w14:textId="77777777" w:rsidR="00465C68" w:rsidRPr="00465C68" w:rsidRDefault="00465C68" w:rsidP="00465C68">
      <w:pPr>
        <w:numPr>
          <w:ilvl w:val="0"/>
          <w:numId w:val="5"/>
        </w:numPr>
      </w:pPr>
      <w:r w:rsidRPr="00465C68">
        <w:t>Diagnostic: first-difference correlation between global and country CCI; Greece and Turkey case studies under global versus country-specific triggers</w:t>
      </w:r>
    </w:p>
    <w:p w14:paraId="4A6EA21A" w14:textId="77777777" w:rsidR="00465C68" w:rsidRPr="00465C68" w:rsidRDefault="00465C68" w:rsidP="00465C68">
      <w:pPr>
        <w:numPr>
          <w:ilvl w:val="0"/>
          <w:numId w:val="5"/>
        </w:numPr>
      </w:pPr>
      <w:r w:rsidRPr="00465C68">
        <w:t>Structural explanation (GDP weighting) and the four-stage trigger-selection workflow; framing is global by default, localised where the diagnostic indicates failure</w:t>
      </w:r>
    </w:p>
    <w:p w14:paraId="114D9C5C" w14:textId="77777777" w:rsidR="00465C68" w:rsidRPr="00465C68" w:rsidRDefault="00465C68" w:rsidP="00465C68">
      <w:r w:rsidRPr="00465C68">
        <w:rPr>
          <w:b/>
          <w:bCs/>
        </w:rPr>
        <w:t>6. Horizon Return Test</w:t>
      </w:r>
      <w:r w:rsidRPr="00465C68">
        <w:t xml:space="preserve"> (results, part 3)</w:t>
      </w:r>
    </w:p>
    <w:p w14:paraId="697431E3" w14:textId="77777777" w:rsidR="00465C68" w:rsidRPr="00465C68" w:rsidRDefault="00465C68" w:rsidP="00465C68">
      <w:pPr>
        <w:numPr>
          <w:ilvl w:val="0"/>
          <w:numId w:val="6"/>
        </w:numPr>
      </w:pPr>
      <w:r w:rsidRPr="00465C68">
        <w:t>Pooled forward log-returns by regime at 1, 3, 6, 12 months: MR positive, EXP negative, RW baseline, all p &lt; 0.001</w:t>
      </w:r>
    </w:p>
    <w:p w14:paraId="29AAC1B6" w14:textId="77777777" w:rsidR="00465C68" w:rsidRPr="00465C68" w:rsidRDefault="00465C68" w:rsidP="00465C68">
      <w:pPr>
        <w:numPr>
          <w:ilvl w:val="0"/>
          <w:numId w:val="6"/>
        </w:numPr>
      </w:pPr>
      <w:r w:rsidRPr="00465C68">
        <w:t>Distribution plots per state (from the new per-state figure): tail-driven MR gain, high-variance EXP, heavy overlap</w:t>
      </w:r>
    </w:p>
    <w:p w14:paraId="16D61A58" w14:textId="77777777" w:rsidR="00465C68" w:rsidRDefault="00465C68" w:rsidP="00465C68">
      <w:pPr>
        <w:numPr>
          <w:ilvl w:val="0"/>
          <w:numId w:val="6"/>
        </w:numPr>
      </w:pPr>
      <w:r w:rsidRPr="00465C68">
        <w:t>Early versus late EXP split as a novel within-regime finding, stated as ex-post</w:t>
      </w:r>
    </w:p>
    <w:p w14:paraId="7FAF6491" w14:textId="0119B978" w:rsidR="00812AB0" w:rsidRPr="00465C68" w:rsidRDefault="00812AB0" w:rsidP="00812AB0">
      <w:r w:rsidRPr="00812AB0">
        <w:t>Coverage, five subsections. 3.1 restates the framework: the threshold autoregression, the rule assigning each month to a state by where the trigger sits relative to two thresholds, the restricted random-walk middle state, estimation by non-linear least squares with the double grid search over c1 and c2, the stationarity criterion, and the efficiency metric as the share of months in each state. All of this is Ahmed and Satchell, restated with attribution. 3.2 is trigger selection, your first real methodological contribution: the four criteria a valid trigger must satisfy (exogeneity via the reverse Granger screen, distributional stability so thresholds keep their meaning across windows, coverage of both tails so the trigger can reach the mean-reverting and explosive states, and availability across the panel), the evidence that the MCSI fails the stability criterion even on the S&amp;P 500 while the amplitude-adjusted Global OECD CCI passes, and a short paragraph on the other candidates screened and set aside, with the fuller abandoned-approaches story (composite triggers, PCA, BIC lag work) deferred to Section 7 per Farid's instruction to discuss those briefly alongside the results. 3.3 is data and sample: sources, monthly frequency, the construction of log prices and returns, and the cascade from the candidate universe to 27 passing exogeneity to 23 admissible series at your length threshold. 3.4 defines the localised-trigger method: the first-difference correlation diagnostic between national and global CCI, and the re-estimation protocol under a country-specific trigger, with the Greece and Turkey results themselves held for Section 5. 3.5 specifies the horizon return test: pooled forward log-returns conditional on the active state, the per-state distributions Farid asked for, and the inference (the tests you ran against the random-walk baseline), with the results held for Section 6.</w:t>
      </w:r>
    </w:p>
    <w:p w14:paraId="2EBD506D" w14:textId="77777777" w:rsidR="00465C68" w:rsidRPr="00465C68" w:rsidRDefault="00465C68" w:rsidP="00465C68">
      <w:r w:rsidRPr="00465C68">
        <w:rPr>
          <w:b/>
          <w:bCs/>
        </w:rPr>
        <w:t>7. Discussion</w:t>
      </w:r>
    </w:p>
    <w:p w14:paraId="2FC330C1" w14:textId="77777777" w:rsidR="00465C68" w:rsidRPr="00465C68" w:rsidRDefault="00465C68" w:rsidP="00465C68">
      <w:pPr>
        <w:numPr>
          <w:ilvl w:val="0"/>
          <w:numId w:val="7"/>
        </w:numPr>
      </w:pPr>
      <w:r w:rsidRPr="00465C68">
        <w:lastRenderedPageBreak/>
        <w:t xml:space="preserve">Abandoned approaches, brief: composite/PCA triggers and why they fail (structural endogeneity of integrated markets; PCA's symmetric factor cannot preserve the two-tailed threshold geometry), BIC </w:t>
      </w:r>
      <w:proofErr w:type="spellStart"/>
      <w:r w:rsidRPr="00465C68">
        <w:t>orthogonalisation</w:t>
      </w:r>
      <w:proofErr w:type="spellEnd"/>
      <w:r w:rsidRPr="00465C68">
        <w:t xml:space="preserve"> lessons</w:t>
      </w:r>
    </w:p>
    <w:p w14:paraId="6E3216B4" w14:textId="77777777" w:rsidR="00465C68" w:rsidRPr="00465C68" w:rsidRDefault="00465C68" w:rsidP="00465C68">
      <w:pPr>
        <w:numPr>
          <w:ilvl w:val="0"/>
          <w:numId w:val="7"/>
        </w:numPr>
      </w:pPr>
      <w:r w:rsidRPr="00465C68">
        <w:t>Limitations: model-dependence of the efficiency metric (per A&amp;S), ex-post EXP split, paired indices in pooling, COVID sentiment lag</w:t>
      </w:r>
    </w:p>
    <w:p w14:paraId="129DF93F" w14:textId="77777777" w:rsidR="00465C68" w:rsidRPr="00465C68" w:rsidRDefault="00465C68" w:rsidP="00465C68">
      <w:pPr>
        <w:numPr>
          <w:ilvl w:val="0"/>
          <w:numId w:val="7"/>
        </w:numPr>
      </w:pPr>
      <w:r w:rsidRPr="00465C68">
        <w:t>Extensions: country-specific triggers for further low-correlation markets, robustness checks, individual equities</w:t>
      </w:r>
    </w:p>
    <w:p w14:paraId="516F911F" w14:textId="77777777" w:rsidR="00465C68" w:rsidRPr="00465C68" w:rsidRDefault="00465C68" w:rsidP="00465C68">
      <w:r w:rsidRPr="00465C68">
        <w:rPr>
          <w:b/>
          <w:bCs/>
        </w:rPr>
        <w:t>8. Conclusion</w:t>
      </w:r>
    </w:p>
    <w:p w14:paraId="401F24AF" w14:textId="77777777" w:rsidR="00465C68" w:rsidRPr="00465C68" w:rsidRDefault="00465C68" w:rsidP="00465C68">
      <w:pPr>
        <w:numPr>
          <w:ilvl w:val="0"/>
          <w:numId w:val="8"/>
        </w:numPr>
      </w:pPr>
      <w:r w:rsidRPr="00465C68">
        <w:t>The three contributions restated and what they establish jointly</w:t>
      </w:r>
    </w:p>
    <w:p w14:paraId="05CF1FED" w14:textId="77777777" w:rsidR="00465C68" w:rsidRPr="00465C68" w:rsidRDefault="00465C68" w:rsidP="00465C68">
      <w:pPr>
        <w:numPr>
          <w:ilvl w:val="0"/>
          <w:numId w:val="8"/>
        </w:numPr>
      </w:pPr>
      <w:r w:rsidRPr="00465C68">
        <w:t>What the framework now permits: comparative, validated efficiency measurement across markets</w:t>
      </w:r>
    </w:p>
    <w:p w14:paraId="76086C1C" w14:textId="77777777" w:rsidR="00465C68" w:rsidRPr="00465C68" w:rsidRDefault="00465C68" w:rsidP="00465C68">
      <w:r w:rsidRPr="00465C68">
        <w:rPr>
          <w:b/>
          <w:bCs/>
        </w:rPr>
        <w:t>Appendices</w:t>
      </w:r>
    </w:p>
    <w:p w14:paraId="3C286409" w14:textId="77777777" w:rsidR="00465C68" w:rsidRPr="00465C68" w:rsidRDefault="00465C68" w:rsidP="00465C68">
      <w:pPr>
        <w:numPr>
          <w:ilvl w:val="0"/>
          <w:numId w:val="9"/>
        </w:numPr>
      </w:pPr>
      <w:r w:rsidRPr="00465C68">
        <w:t>A: exogeneity test details; B: episode coverage with caveats; C: correlation table; D: robustness</w:t>
      </w:r>
    </w:p>
    <w:p w14:paraId="2E4A44E0" w14:textId="77777777" w:rsidR="00465C68" w:rsidRDefault="00465C68"/>
    <w:p w14:paraId="3A9BE76F" w14:textId="77777777" w:rsidR="000E1F66" w:rsidRDefault="000E1F66"/>
    <w:p w14:paraId="489DF08A" w14:textId="77777777" w:rsidR="000E1F66" w:rsidRDefault="000E1F66"/>
    <w:p w14:paraId="47E3FE02" w14:textId="2E327463" w:rsidR="000E1F66" w:rsidRDefault="000E1F66" w:rsidP="00A20CF0"/>
    <w:p w14:paraId="3DF26390" w14:textId="2EB439B5" w:rsidR="00A20CF0" w:rsidRDefault="00A20CF0" w:rsidP="00A20CF0">
      <w:r>
        <w:t>1 Introduction</w:t>
      </w:r>
    </w:p>
    <w:p w14:paraId="5A33D8FF" w14:textId="69775024" w:rsidR="006F1623" w:rsidRDefault="00A03C7C" w:rsidP="00A20CF0">
      <w:r>
        <w:t xml:space="preserve">The </w:t>
      </w:r>
      <w:r w:rsidR="00A86528">
        <w:t>question</w:t>
      </w:r>
      <w:r>
        <w:t xml:space="preserve"> of whether asset markets are efficient has been one of the most hotly </w:t>
      </w:r>
      <w:r w:rsidR="0011448D">
        <w:t xml:space="preserve">debated </w:t>
      </w:r>
      <w:r w:rsidR="001C6388">
        <w:t>topics</w:t>
      </w:r>
      <w:r w:rsidR="0011448D">
        <w:t xml:space="preserve"> in the field of financial economics. </w:t>
      </w:r>
      <w:r w:rsidR="00886771">
        <w:t>Since Fama (1965) characterised a</w:t>
      </w:r>
      <w:r w:rsidR="005C1AB0">
        <w:t>n</w:t>
      </w:r>
      <w:r w:rsidR="00886771">
        <w:t xml:space="preserve"> efficient market as one </w:t>
      </w:r>
      <w:r w:rsidR="001B1956">
        <w:t>whose price</w:t>
      </w:r>
      <w:r w:rsidR="0024007B">
        <w:t>s</w:t>
      </w:r>
      <w:r w:rsidR="001B1956">
        <w:t xml:space="preserve"> follow a random walk</w:t>
      </w:r>
      <w:r w:rsidR="00524AD4">
        <w:t>, the weak form of</w:t>
      </w:r>
      <w:r w:rsidR="001C6388">
        <w:t xml:space="preserve"> the</w:t>
      </w:r>
      <w:r w:rsidR="00524AD4">
        <w:t xml:space="preserve"> hypothesis </w:t>
      </w:r>
      <w:r w:rsidR="003B13BD">
        <w:t>was long</w:t>
      </w:r>
      <w:r w:rsidR="002437B2">
        <w:t xml:space="preserve"> </w:t>
      </w:r>
      <w:r w:rsidR="00B3715E">
        <w:t>evaluated as a binary property</w:t>
      </w:r>
      <w:r w:rsidR="001F64C9">
        <w:t xml:space="preserve">: a market </w:t>
      </w:r>
      <w:r w:rsidR="00D74CA3">
        <w:t>was</w:t>
      </w:r>
      <w:r w:rsidR="001F64C9">
        <w:t xml:space="preserve"> judged </w:t>
      </w:r>
      <w:r w:rsidR="00243769">
        <w:t xml:space="preserve">on average over a sample period </w:t>
      </w:r>
      <w:r w:rsidR="00B94E78">
        <w:t xml:space="preserve">to be either efficient or not. </w:t>
      </w:r>
      <w:r w:rsidR="00A831B2">
        <w:t>Lo</w:t>
      </w:r>
      <w:r w:rsidR="00D10390">
        <w:t xml:space="preserve"> (2004) </w:t>
      </w:r>
      <w:r w:rsidR="00C608E0">
        <w:t xml:space="preserve">subsequently </w:t>
      </w:r>
      <w:r w:rsidR="00D10390">
        <w:t xml:space="preserve">proposed </w:t>
      </w:r>
      <w:r w:rsidR="00DA626C">
        <w:t xml:space="preserve">the adaptive market hypothesis, where efficiency </w:t>
      </w:r>
      <w:r w:rsidR="009D733A">
        <w:t>varies over time with market conditions rather than holding a</w:t>
      </w:r>
      <w:r w:rsidR="00C608E0">
        <w:t>s a</w:t>
      </w:r>
      <w:r w:rsidR="009D733A">
        <w:t xml:space="preserve"> fixed property.</w:t>
      </w:r>
      <w:r w:rsidR="004B1811">
        <w:t xml:space="preserve"> T</w:t>
      </w:r>
      <w:r w:rsidR="005A2DC7">
        <w:t>he measures developed in this tradition</w:t>
      </w:r>
      <w:r w:rsidR="00003451">
        <w:t xml:space="preserve"> quantify efficiency as a statistical distance from randomness</w:t>
      </w:r>
      <w:r w:rsidR="00C22D55">
        <w:t xml:space="preserve">: </w:t>
      </w:r>
      <w:r w:rsidR="00C22D55" w:rsidRPr="00C22D55">
        <w:t xml:space="preserve">they report how inefficient a market is, but not </w:t>
      </w:r>
      <w:r w:rsidR="00C22D55">
        <w:t xml:space="preserve">the </w:t>
      </w:r>
      <w:r w:rsidR="00C22D55" w:rsidRPr="00C22D55">
        <w:t>kind of inefficiency it is experiencing.</w:t>
      </w:r>
    </w:p>
    <w:p w14:paraId="289F2A1B" w14:textId="5A93CCD6" w:rsidR="00A20CF0" w:rsidRDefault="00003451" w:rsidP="00A20CF0">
      <w:r>
        <w:t>A</w:t>
      </w:r>
      <w:r w:rsidR="00C44C79">
        <w:t xml:space="preserve">hmed and Satchell (2018) </w:t>
      </w:r>
      <w:r w:rsidR="00134786">
        <w:t>addresses this directly</w:t>
      </w:r>
      <w:r w:rsidR="004B40E2">
        <w:t>.</w:t>
      </w:r>
      <w:r w:rsidR="000D17B4" w:rsidRPr="000D17B4">
        <w:t xml:space="preserve"> </w:t>
      </w:r>
      <w:r w:rsidR="000D17B4" w:rsidRPr="000D17B4">
        <w:t>They model equity prices as a threshold autoregression where an exogenous trigger variable determines which of three regimes is active at each point in time, according to whether it lies below, between, or above two estimated thresholds. The regimes are a mean-reverting state associated with correction, a random-walk state that is efficient in the weak-form sense, and a locally explosive state associated with bubble-like dynamics.</w:t>
      </w:r>
      <w:r w:rsidR="004B40E2">
        <w:t xml:space="preserve"> </w:t>
      </w:r>
      <w:r w:rsidR="000F14C7" w:rsidRPr="000F14C7">
        <w:t xml:space="preserve">Efficiency </w:t>
      </w:r>
      <w:r w:rsidR="000F14C7" w:rsidRPr="000F14C7">
        <w:lastRenderedPageBreak/>
        <w:t xml:space="preserve">thereby </w:t>
      </w:r>
      <w:r w:rsidR="000F14C7">
        <w:t xml:space="preserve">becomes </w:t>
      </w:r>
      <w:r w:rsidR="008B6D36">
        <w:t>one of several discrete and economically interpretable state.</w:t>
      </w:r>
      <w:r w:rsidR="00316F82" w:rsidRPr="00316F82">
        <w:t xml:space="preserve"> </w:t>
      </w:r>
      <w:r w:rsidR="00316F82" w:rsidRPr="00316F82">
        <w:t>Because the same specification can be estimated for any market, the proportion of time spent in the efficient state provides a metric that is comparable across markets</w:t>
      </w:r>
      <w:r w:rsidR="009D6E26">
        <w:t xml:space="preserve">. </w:t>
      </w:r>
    </w:p>
    <w:p w14:paraId="69648223" w14:textId="54028D31" w:rsidR="009C091B" w:rsidRDefault="009C091B" w:rsidP="00A20CF0">
      <w:r w:rsidRPr="009C091B">
        <w:t>Their application, however, is illustrative by design: two developed indices (the S&amp;P 500 and FTSE 100) and two US-centric triggers (the Michigan Consumer Sentiment Index and the VIX). The</w:t>
      </w:r>
      <w:r w:rsidR="000A7633">
        <w:t>ir</w:t>
      </w:r>
      <w:r w:rsidRPr="009C091B">
        <w:t xml:space="preserve"> paper's aim is to specify and estimate the metric, so it does not test whether the estimated states carry forward-looking information.</w:t>
      </w:r>
      <w:r w:rsidR="006B50E6" w:rsidRPr="006B50E6">
        <w:t xml:space="preserve"> </w:t>
      </w:r>
      <w:r w:rsidR="006B50E6" w:rsidRPr="006B50E6">
        <w:t>The authors also acknowledge that finding an appropriate trigger is non-</w:t>
      </w:r>
      <w:r w:rsidR="006C5683" w:rsidRPr="006B50E6">
        <w:t>trivial</w:t>
      </w:r>
      <w:r w:rsidR="006C5683">
        <w:t xml:space="preserve"> and</w:t>
      </w:r>
      <w:r w:rsidR="006B50E6" w:rsidRPr="006B50E6">
        <w:t xml:space="preserve"> leave other assets and com</w:t>
      </w:r>
      <w:r w:rsidR="00AB7B5D">
        <w:t>posite</w:t>
      </w:r>
      <w:r w:rsidR="006B50E6" w:rsidRPr="006B50E6">
        <w:t xml:space="preserve"> triggers to future research. Measures of deviation from randomness have meanwhile continued to appear (Noda, 2020; </w:t>
      </w:r>
      <w:proofErr w:type="spellStart"/>
      <w:r w:rsidR="006B50E6" w:rsidRPr="006B50E6">
        <w:t>Shternshis</w:t>
      </w:r>
      <w:proofErr w:type="spellEnd"/>
      <w:r w:rsidR="006B50E6" w:rsidRPr="006B50E6">
        <w:t>, Mazzarisi and Marmi, 2022). The gap between measuring the degree of inefficiency and identifying its economic character therefore remains</w:t>
      </w:r>
      <w:r w:rsidR="00E872C4">
        <w:t xml:space="preserve"> largely</w:t>
      </w:r>
      <w:r w:rsidR="006B50E6" w:rsidRPr="006B50E6">
        <w:t xml:space="preserve"> open.</w:t>
      </w:r>
    </w:p>
    <w:p w14:paraId="4FCC780F" w14:textId="39521682" w:rsidR="00FE4DCC" w:rsidRDefault="00FE4DCC" w:rsidP="00FE4DCC">
      <w:r w:rsidRPr="00FE4DCC">
        <w:t>This paper takes up that agenda on a global scale, extending the framework in three directions.</w:t>
      </w:r>
      <w:r w:rsidR="002860F8">
        <w:t xml:space="preserve"> </w:t>
      </w:r>
      <w:r w:rsidRPr="00FE4DCC">
        <w:t>First, we scale the framework from two indices to a screened panel of 23 admissible equity index series spanning developed and emerging markets, using a single common trigger: the amplitude-adjusted Global OECD Consumer Confidence Indicator (CCI). The estimated regime thresholds cluster tightly across markets (c1 approximately 96.8 to 98.2, c2 approximately 100.8 to 102.5, which is the property that makes the efficiency metric comparable across the panel. The choice of trigger is decisive for this comparability</w:t>
      </w:r>
      <w:r w:rsidR="007D4345">
        <w:t xml:space="preserve">. </w:t>
      </w:r>
      <w:r w:rsidR="00441545" w:rsidRPr="00441545">
        <w:t>The original MCSI is a US household survey, and</w:t>
      </w:r>
      <w:r w:rsidR="00B94E25">
        <w:t xml:space="preserve"> </w:t>
      </w:r>
      <w:r w:rsidR="00B94E25" w:rsidRPr="00B94E25">
        <w:t xml:space="preserve">even for the S&amp;P 500, its home </w:t>
      </w:r>
      <w:r w:rsidR="00B94E25" w:rsidRPr="00B94E25">
        <w:t>market,</w:t>
      </w:r>
      <w:r w:rsidR="00B94E25" w:rsidRPr="00441545">
        <w:t xml:space="preserve"> its</w:t>
      </w:r>
      <w:r w:rsidR="00441545" w:rsidRPr="00441545">
        <w:t xml:space="preserve"> estimated thresholds drift substantially across estimation windows. The amplitude-adjusted CCI addresses both limitations: </w:t>
      </w:r>
      <w:r w:rsidR="001E0D6F" w:rsidRPr="001E0D6F">
        <w:t>it aggregates consumer confidence across the OECD economies into a single global indicator, and its stable distribution means the thresholds retain their meaning across samples and markets.</w:t>
      </w:r>
    </w:p>
    <w:p w14:paraId="05DE3374" w14:textId="36095E0A" w:rsidR="0088641A" w:rsidRDefault="00307B0F" w:rsidP="00FE4DCC">
      <w:r w:rsidRPr="00307B0F">
        <w:t>Second, we characterise the framework's appropriate domain.</w:t>
      </w:r>
      <w:r w:rsidR="00FD6BD3" w:rsidRPr="00FD6BD3">
        <w:t xml:space="preserve"> </w:t>
      </w:r>
      <w:r w:rsidR="00FD6BD3" w:rsidRPr="00FD6BD3">
        <w:t>A global sentiment trigger primarily captures stress that is broadly shared across economies, and we show that it is structurally blind to domestically driven crises in economies that carry little weight in the aggregate.</w:t>
      </w:r>
      <w:r w:rsidRPr="00307B0F">
        <w:t xml:space="preserve"> Under the global CCI, Greece and Turkey appear among the most efficient markets in the panel: their sovereign-debt and currency crises, respectively, leave little trace in the global aggregate, so the framework classifies their most turbulent years as efficient. We provide a simple diagnostic: the correlation between month-on-month changes in a country's own CCI and in the global CCI. A low correlation flags, before any estimation, the markets for which the global trigger will be uninformative, and re-estimating those markets with their country-specific CCI restores the crisis episodes to the classification. The prescription is global by default, localised where the diagnostic indicates the global trigger fails. </w:t>
      </w:r>
      <w:r w:rsidR="000C27B2" w:rsidRPr="000C27B2">
        <w:t>This addresses the trigger-selection problem that Ahmed and Satchell flagged as non-trivial.</w:t>
      </w:r>
    </w:p>
    <w:p w14:paraId="43B6CB38" w14:textId="7F9201B9" w:rsidR="001B512D" w:rsidRDefault="00B71A0C" w:rsidP="00FE4DCC">
      <w:r w:rsidRPr="00B71A0C">
        <w:lastRenderedPageBreak/>
        <w:t>Third, we ask whether the regime labels carry forward-looking information. Pooling across the panel, we compute forward returns conditional on the active regime and find a large and statistically significant ordering: months classified as mean-reverting are followed by average twelve-month returns of +14.6</w:t>
      </w:r>
      <w:r>
        <w:t>%</w:t>
      </w:r>
      <w:r w:rsidRPr="00B71A0C">
        <w:t>, against +8.0</w:t>
      </w:r>
      <w:r>
        <w:t>%</w:t>
      </w:r>
      <w:r w:rsidRPr="00B71A0C">
        <w:t xml:space="preserve"> for efficient months and </w:t>
      </w:r>
      <w:r w:rsidR="001068C6">
        <w:t xml:space="preserve">-7.5% </w:t>
      </w:r>
      <w:r w:rsidRPr="00B71A0C">
        <w:t>for explosive months.</w:t>
      </w:r>
      <w:r w:rsidR="00FF4957">
        <w:t xml:space="preserve"> </w:t>
      </w:r>
      <w:r w:rsidR="00FF4957" w:rsidRPr="00FF4957">
        <w:t>The labels therefore contain information about subsequent returns, a first step toward the forecasting use the authors envisaged.</w:t>
      </w:r>
    </w:p>
    <w:p w14:paraId="31A81ABE" w14:textId="5A3A6574" w:rsidR="00E17798" w:rsidRPr="00FE4DCC" w:rsidRDefault="00E17798" w:rsidP="00FE4DCC">
      <w:r w:rsidRPr="00E17798">
        <w:t xml:space="preserve">The remainder of the paper is organised as follows. Section 2 reviews the literatures this paper connects, on time-varying market efficiency and on testing for explosive </w:t>
      </w:r>
      <w:r w:rsidRPr="00E17798">
        <w:t>behaviour and</w:t>
      </w:r>
      <w:r w:rsidRPr="00E17798">
        <w:t xml:space="preserve"> states the research gap. Section 3 sets out the TAR framework, the trigger-selection methodology and the construction of the panel. Section 4 reports the cross-market regime classifications. Section 5 establishes the framework's appropriate domain and the localised-trigger extension. Section 6 presents the horizon return test. Section 7 discusses abandoned approaches, limitations and extensions, and Section 8 concludes.</w:t>
      </w:r>
    </w:p>
    <w:p w14:paraId="66A6FD70" w14:textId="77777777" w:rsidR="00FE4DCC" w:rsidRDefault="00FE4DCC" w:rsidP="00A20CF0"/>
    <w:p w14:paraId="26FF2067" w14:textId="035C528D" w:rsidR="000E1F66" w:rsidRDefault="000E1F66"/>
    <w:p w14:paraId="39D4F6EB" w14:textId="77777777" w:rsidR="006E2275" w:rsidRDefault="006E2275"/>
    <w:p w14:paraId="47C214DC" w14:textId="77777777" w:rsidR="006E2275" w:rsidRDefault="006E2275"/>
    <w:p w14:paraId="56451121" w14:textId="77777777" w:rsidR="006E2275" w:rsidRDefault="006E2275"/>
    <w:p w14:paraId="7DFFA983" w14:textId="77777777" w:rsidR="006E2275" w:rsidRDefault="006E2275"/>
    <w:p w14:paraId="10A63FEE" w14:textId="77777777" w:rsidR="006E2275" w:rsidRDefault="006E2275"/>
    <w:p w14:paraId="2027DF3E" w14:textId="61633A33" w:rsidR="006E2275" w:rsidRDefault="006E2275">
      <w:r>
        <w:t>Section 2</w:t>
      </w:r>
    </w:p>
    <w:p w14:paraId="7C31A9DA" w14:textId="3E8613D9" w:rsidR="006E2275" w:rsidRDefault="000C1FB0">
      <w:r>
        <w:t xml:space="preserve">This paper draws on </w:t>
      </w:r>
      <w:r w:rsidR="00CE6396">
        <w:t xml:space="preserve">two literatures. </w:t>
      </w:r>
      <w:r w:rsidR="00360F6E" w:rsidRPr="00360F6E">
        <w:t>The first asks whether, and when, equity markets are efficient. The second develops tests for explosive behaviour and rational bubbles.</w:t>
      </w:r>
      <w:r w:rsidR="00756BE9">
        <w:t xml:space="preserve"> </w:t>
      </w:r>
      <w:r w:rsidR="00756BE9" w:rsidRPr="00756BE9">
        <w:t>Ahmed and Satchell (2018) connect them</w:t>
      </w:r>
      <w:r w:rsidR="00055720">
        <w:t xml:space="preserve"> by using a threshold framework that </w:t>
      </w:r>
      <w:r w:rsidR="00756BE9" w:rsidRPr="00756BE9">
        <w:t>treats mean reversion, efficiency and explosiveness as states of a single price process. This section reviews both literatures and closes with the gaps the paper addresses.</w:t>
      </w:r>
    </w:p>
    <w:p w14:paraId="10295610" w14:textId="77777777" w:rsidR="00747918" w:rsidRDefault="00747918"/>
    <w:p w14:paraId="5F221EBF" w14:textId="4FEF2B6F" w:rsidR="00747918" w:rsidRDefault="00747918">
      <w:r>
        <w:t>2.1</w:t>
      </w:r>
      <w:r w:rsidR="003F63C1">
        <w:t xml:space="preserve"> </w:t>
      </w:r>
      <w:r w:rsidR="003F63C1" w:rsidRPr="003F63C1">
        <w:t>From binary efficiency to a time-varying state</w:t>
      </w:r>
    </w:p>
    <w:p w14:paraId="76C101B1" w14:textId="77777777" w:rsidR="00A551D5" w:rsidRPr="00A551D5" w:rsidRDefault="00A551D5" w:rsidP="00A551D5">
      <w:r w:rsidRPr="00A551D5">
        <w:t>The weak form of the efficient market hypothesis holds that prices already embody the information in past prices, so returns are unpredictable and prices follow a random walk (Fama, 1965, 1970; Samuelson, 1965). For decades the hypothesis was tested as a verdict on a whole sample: a market was efficient, or it was not. Early challenges fit the same mould: De Bondt and Thaler (1985) documented long-horizon return reversals and read them as evidence against efficiency, again for the sample as a whole.</w:t>
      </w:r>
    </w:p>
    <w:p w14:paraId="656AC83A" w14:textId="40D9BBC3" w:rsidR="00A551D5" w:rsidRDefault="00A551D5" w:rsidP="00A551D5">
      <w:r w:rsidRPr="00A551D5">
        <w:lastRenderedPageBreak/>
        <w:t>Lo (2004) changed the framing. Under the adaptive markets hypothesis (AMH), efficiency varies over time and across markets as participants compete, learn and adapt to changing conditions</w:t>
      </w:r>
      <w:r w:rsidR="00BD73AB">
        <w:t xml:space="preserve">, </w:t>
      </w:r>
      <w:r w:rsidR="003F63C1" w:rsidRPr="003F63C1">
        <w:t>so efficiency and inefficiency can coexist without contradiction. Urquhart and McGroarty (2016) provided early empirical support: across the S&amp;P 500, FTSE 100, Nikkei 225 and EURO STOXX 50 over 1990 to 2014, rolling-window variance ratio and BDS tests show periods of significant predictability alternating with periods of none, and each market adapts differently to market conditions.</w:t>
      </w:r>
    </w:p>
    <w:p w14:paraId="3E519553" w14:textId="5F4AD4D2" w:rsidR="003F63C1" w:rsidRDefault="005C1F1C" w:rsidP="00A551D5">
      <w:r w:rsidRPr="005C1F1C">
        <w:t xml:space="preserve">The empirical support has since broadened. Munir, Abd Sukor and </w:t>
      </w:r>
      <w:proofErr w:type="spellStart"/>
      <w:r w:rsidRPr="005C1F1C">
        <w:t>Shaharuddin</w:t>
      </w:r>
      <w:proofErr w:type="spellEnd"/>
      <w:r w:rsidRPr="005C1F1C">
        <w:t xml:space="preserve"> (2022) find a strong contrarian effect across South Asian emerging markets whose profits strengthen in down markets, high-volatility phases and crises, which they read as partial support for the AMH alongside persistent weak-form inefficiency. Okorie and Lin (2021) find that the COVID-19 pandemic shifted efficiency in some markets and not others:</w:t>
      </w:r>
      <w:r w:rsidR="00D55FCA" w:rsidRPr="00D55FCA">
        <w:t xml:space="preserve"> </w:t>
      </w:r>
      <w:r w:rsidR="00D55FCA" w:rsidRPr="00D55FCA">
        <w:t>in the long term, Indian equities became less efficient and Russian equities more efficient, while the US and Brazil showed no substantial change at any horizon.</w:t>
      </w:r>
      <w:r w:rsidRPr="005C1F1C">
        <w:t xml:space="preserve"> The common thread is that predictability comes and goes with conditions, and it does so differently across markets. </w:t>
      </w:r>
      <w:r w:rsidR="004D1A98" w:rsidRPr="004D1A98">
        <w:t>A sample-wide verdict averages over exactly this variation, so measuring efficiency requires a metric that</w:t>
      </w:r>
      <w:r w:rsidR="0052686E">
        <w:t xml:space="preserve"> varies over time and across markets. </w:t>
      </w:r>
    </w:p>
    <w:p w14:paraId="2664E98C" w14:textId="77777777" w:rsidR="006D654C" w:rsidRDefault="006D654C" w:rsidP="00A551D5"/>
    <w:p w14:paraId="75ED9EEF" w14:textId="02C12CDD" w:rsidR="006D654C" w:rsidRPr="00A551D5" w:rsidRDefault="006D654C" w:rsidP="00A551D5">
      <w:r>
        <w:t>2.2 Measuring the degree and incidence of inefficiency</w:t>
      </w:r>
    </w:p>
    <w:p w14:paraId="7C43E62B" w14:textId="77777777" w:rsidR="00A551D5" w:rsidRDefault="00A551D5"/>
    <w:p w14:paraId="4CBBC6CC" w14:textId="688E77B2" w:rsidR="00747918" w:rsidRDefault="00D209CC">
      <w:r w:rsidRPr="00D209CC">
        <w:t xml:space="preserve">Once efficiency is allowed to vary, the question becomes how much a market deviates from a random walk at a given time. Noda (2016, 2020) answers it with a time-varying autoregressive coefficient: the further the coefficient sits from zero in a given period, the less efficient the market. dos Santos, Favero, </w:t>
      </w:r>
      <w:proofErr w:type="spellStart"/>
      <w:r w:rsidRPr="00D209CC">
        <w:t>Brugni</w:t>
      </w:r>
      <w:proofErr w:type="spellEnd"/>
      <w:r w:rsidRPr="00D209CC">
        <w:t xml:space="preserve"> and Serra (2024) build an inefficiency index from the Hurst exponent's distance from 0.5, its random-walk benchmark, computed over rolling windows of 500 and 1,250 days for daily indices from 50 countries between 1990 and 2022. Their index rises during the global crises of 2007 to 2008 and 2020 to 2022 and falls back as markets adjus</w:t>
      </w:r>
      <w:r w:rsidR="001E0B67">
        <w:t xml:space="preserve">t, </w:t>
      </w:r>
      <w:r w:rsidR="001E0B67" w:rsidRPr="001E0B67">
        <w:t>and multilevel models tie the efficiency profiles to each country's economic and institutional characteristics</w:t>
      </w:r>
      <w:r w:rsidR="004B68AA">
        <w:t>:</w:t>
      </w:r>
      <w:r w:rsidR="004B68AA" w:rsidRPr="004B68AA">
        <w:t xml:space="preserve"> </w:t>
      </w:r>
      <w:r w:rsidR="004B68AA" w:rsidRPr="004B68AA">
        <w:t>stronger legal rights and capital-market regulation are associated with lower inefficiency</w:t>
      </w:r>
      <w:r w:rsidR="004B68AA">
        <w:t>.</w:t>
      </w:r>
    </w:p>
    <w:p w14:paraId="01E8C419" w14:textId="772E6F36" w:rsidR="00C3684E" w:rsidRDefault="00C3684E">
      <w:r w:rsidRPr="00C3684E">
        <w:t xml:space="preserve">Both measures report a distance. Noda's coefficient can sit above or below zero, and the Hurst exponent above or below 0.5, with the two sides meaning different things: persistence on one side, reversion on the other. The indices, however, are built from the size of the deviation, so the direction is discarded. A market correcting after a crash and </w:t>
      </w:r>
      <w:r w:rsidRPr="00C3684E">
        <w:lastRenderedPageBreak/>
        <w:t>a market trending into a bubble can produce the same reading. The number says how far a market is from randomness, and nothing about which way.</w:t>
      </w:r>
    </w:p>
    <w:p w14:paraId="5857FD22" w14:textId="5B183607" w:rsidR="00E47BF8" w:rsidRDefault="00E47BF8">
      <w:r w:rsidRPr="00E47BF8">
        <w:t>Ahmed and Satchell (2018) ask a different question: which state is the market in? Building on the threshold autoregression results of Knight and Satchell (2011) and Knight, Satchell and Srivastava (2014), they model equity prices as switching among a mean-reverting state, a random-walk state and a locally explosive state, with the active state selected by an exogenous trigger variable. The random-walk restriction defines the efficient state, and the share of months a market spends there becomes the efficiency metric. A month in the mean-reverting state is a correction. A month in the explosive state is bubble-like drift. The same specification can be estimated for any market with a valid trigger, so the metric compares across markets. Their application covers two developed indices under two US-based triggers</w:t>
      </w:r>
      <w:r w:rsidR="00247D6E">
        <w:t>.</w:t>
      </w:r>
    </w:p>
    <w:p w14:paraId="1EF40E67" w14:textId="77777777" w:rsidR="00221B13" w:rsidRDefault="00221B13"/>
    <w:p w14:paraId="0EFB3FC8" w14:textId="03FCF80C" w:rsidR="00221B13" w:rsidRDefault="00221B13">
      <w:r w:rsidRPr="00221B13">
        <w:t>2.3 Testing for explosive behaviour and rational bubbles</w:t>
      </w:r>
    </w:p>
    <w:p w14:paraId="1B042B24" w14:textId="1015DE23" w:rsidR="00221B13" w:rsidRDefault="002B7F25">
      <w:r w:rsidRPr="002B7F25">
        <w:t>Bubble tests ask when prices stop behaving like a random walk and turn locally explosive, the third state in the framework above. Phillips, Wu and Yu (2011) run right-tailed unit root regressions over expanding windows, with a unit root as the null and explosive growth as the alternative, and used the test to date the exuberance in the 1990s Nasdaq. Results in this family are sensitive to the null hypothesis and the model specification chosen (Phillips, Shi and Yu, 2014). The original design has a separate limit: every window starts at the beginning of the sample, so once an early bubble has collapsed, the collapsed episode remains in every later window and depresses the statistic for subsequent bubbles. Phillips, Shi and Yu (2015) generalised the procedure to address this. The GSADF lets both the window size and the start point vary, so later episodes are examined in windows that never contain the first, and it can date the start and end of each episode consistently.</w:t>
      </w:r>
    </w:p>
    <w:p w14:paraId="2759E04A" w14:textId="67086306" w:rsidR="0027369F" w:rsidRDefault="0027369F">
      <w:r w:rsidRPr="0027369F">
        <w:t xml:space="preserve">The GSADF is now the standard tool and gets applied across asset </w:t>
      </w:r>
      <w:r w:rsidR="002A116B">
        <w:t xml:space="preserve">classes </w:t>
      </w:r>
      <w:r w:rsidR="002A116B" w:rsidRPr="002A116B">
        <w:t>(e.g. Fan et al., 2024; for a survey see Skrobotov, 2023)</w:t>
      </w:r>
      <w:r w:rsidR="00AA27F5">
        <w:t xml:space="preserve">. </w:t>
      </w:r>
      <w:r w:rsidRPr="0027369F">
        <w:t xml:space="preserve">Harvey, Leybourne and Whitehouse (2020) improve the dating of bubbles when a sample contains several. Whitehouse, Harvey and Leybourne (2023) monitor in real time for the onset of a crash once a bubble is under way, modelling the bubble as an explosive regime and the crash as a stationary one. </w:t>
      </w:r>
    </w:p>
    <w:p w14:paraId="37D0CE0D" w14:textId="77777777" w:rsidR="00210CC6" w:rsidRDefault="00210CC6"/>
    <w:p w14:paraId="4AF84C58" w14:textId="21D243C1" w:rsidR="00210CC6" w:rsidRDefault="00210CC6">
      <w:r>
        <w:t>2.4</w:t>
      </w:r>
      <w:r w:rsidR="00085F18">
        <w:t xml:space="preserve"> Limits of </w:t>
      </w:r>
      <w:r w:rsidR="00085F18" w:rsidRPr="00085F18">
        <w:t>bubble tests and the case for a regime approach</w:t>
      </w:r>
    </w:p>
    <w:p w14:paraId="19EF304F" w14:textId="77777777" w:rsidR="00B701D2" w:rsidRDefault="00B701D2" w:rsidP="00E91880">
      <w:r w:rsidRPr="00B701D2">
        <w:t xml:space="preserve">The bubble tests have known weaknesses, documented from inside the literature. Evans (1991) showed that the tests lose power as the number of bubbles and collapses in a series increases: an episode that inflates and then bursts looks far less explosive on </w:t>
      </w:r>
      <w:r w:rsidRPr="00B701D2">
        <w:lastRenderedPageBreak/>
        <w:t xml:space="preserve">average than one that only inflates. </w:t>
      </w:r>
      <w:proofErr w:type="spellStart"/>
      <w:r w:rsidRPr="00B701D2">
        <w:t>Monschang</w:t>
      </w:r>
      <w:proofErr w:type="spellEnd"/>
      <w:r w:rsidRPr="00B701D2">
        <w:t xml:space="preserve"> and </w:t>
      </w:r>
      <w:proofErr w:type="spellStart"/>
      <w:r w:rsidRPr="00B701D2">
        <w:t>Wilfling</w:t>
      </w:r>
      <w:proofErr w:type="spellEnd"/>
      <w:r w:rsidRPr="00B701D2">
        <w:t xml:space="preserve"> (2021) ran a modern check. In their Monte Carlo experiments, sup-ADF tests over-reject under leverage effects and leave a large share of true bubbles undetected.</w:t>
      </w:r>
    </w:p>
    <w:p w14:paraId="613C4017" w14:textId="77777777" w:rsidR="0029205F" w:rsidRDefault="0029205F">
      <w:r w:rsidRPr="0029205F">
        <w:t>Ahmed and Satchell (2018) found a further weakness by simulation. They generate three-state price series in which a locally explosive regime is active 10 percent of the time, and vary whether the process has a stationary distribution. Holding the bubble parameter and its frequency fixed, GSADF power falls from 17.6 to 9.0 percent once a stationary distribution exists, and reaches 1 to 4 percent in other designs. The reason is mechanical: the test presumes a process with no mean-reverting state, so corrections drag the estimated coefficient back toward unity and the explosive signal washes out. The test works best when no correction ever occurs, a condition real markets rarely satisfy.</w:t>
      </w:r>
    </w:p>
    <w:p w14:paraId="6D66F0A7" w14:textId="12E473D4" w:rsidR="00085F18" w:rsidRDefault="001740E9">
      <w:r w:rsidRPr="001740E9">
        <w:t xml:space="preserve">The threshold framework handles this case directly. The trigger assigns each observation to a regime before estimation, so explosive months are estimated in their own regression and the dilution never arises. The framework also identifies the mean-reverting state itself, which a right-tailed test is not built to detect. The cost is the trigger: the GSADF needs only the price series, while the threshold approach stands or falls on the choice of an observable, exogenous conditioning variable. </w:t>
      </w:r>
    </w:p>
    <w:p w14:paraId="080145DC" w14:textId="77777777" w:rsidR="00E67F25" w:rsidRDefault="00E67F25"/>
    <w:p w14:paraId="0E295323" w14:textId="74D98C2E" w:rsidR="00465C34" w:rsidRDefault="00465C34">
      <w:r w:rsidRPr="00465C34">
        <w:t>2.5 Sentiment and the trigger problem</w:t>
      </w:r>
    </w:p>
    <w:p w14:paraId="782F7354" w14:textId="4FFC0AB8" w:rsidR="00210CC6" w:rsidRDefault="00911C72">
      <w:r w:rsidRPr="00911C72">
        <w:t xml:space="preserve">Ahmed and Satchell (2018) impose one requirement on the trigger: exogeneity. They tested a range of candidate variables and discarded those that failed Granger causality tests against the indices. </w:t>
      </w:r>
      <w:r w:rsidR="00632085" w:rsidRPr="00632085">
        <w:t xml:space="preserve">Their chosen triggers were the Michigan Consumer Sentiment Index (MCSI), a monthly survey of US households, and the VIX. </w:t>
      </w:r>
      <w:r w:rsidRPr="00911C72">
        <w:t>The reasoning: persistently high sentiment marks exuberance, persistently low sentiment marks correction.</w:t>
      </w:r>
      <w:r w:rsidR="00632085">
        <w:t xml:space="preserve"> </w:t>
      </w:r>
    </w:p>
    <w:p w14:paraId="4D8908D5" w14:textId="7DFCD068" w:rsidR="008D5966" w:rsidRDefault="00A2064C">
      <w:r w:rsidRPr="00A2064C">
        <w:t xml:space="preserve">Sentiment does predict returns. Schmeling (2009) finds, across 18 industrialised countries from 1985 to 2005, that a country's own consumer confidence negatively forecasts its aggregate stock returns: high sentiment precedes low returns. Vuong and Suzuki (2022) reach the same conclusion for twelve Asian and European markets over 2004 to 2016, where market-level composite indices built partly from national consumer confidence predict returns in the contrarian direction at horizons of three to twenty-four months. </w:t>
      </w:r>
      <w:r w:rsidR="00CC6260">
        <w:t>T</w:t>
      </w:r>
      <w:r w:rsidR="00CC6260" w:rsidRPr="00CC6260">
        <w:t>his</w:t>
      </w:r>
      <w:r w:rsidR="00CC6260" w:rsidRPr="00CC6260">
        <w:t xml:space="preserve"> predictive content is what a trigger needs: a variable with no information about future returns could not sort months into states that differ in how returns behave.</w:t>
      </w:r>
    </w:p>
    <w:p w14:paraId="1FA85053" w14:textId="401F4B06" w:rsidR="00B27582" w:rsidRDefault="00B27582">
      <w:r w:rsidRPr="00B27582">
        <w:t xml:space="preserve">The prediction varies across countries. Schmeling (2009) finds the effect is stronger where market integrity is lower and culture leans toward herding. Vuong and Suzuki </w:t>
      </w:r>
      <w:r w:rsidRPr="00B27582">
        <w:lastRenderedPageBreak/>
        <w:t>(2022) find its strength and horizon depend on financial development, institutional governance and culture, and the moderation itself shifts over time and differs between their two regions. dos Santos et al. (2024) tie efficiency to the institutional environment (Section 2.2). This creates a tension for a cross-market application of the framework. Comparing efficiency across markets calls for one common trigger, estimated the same way everywhere. The heterogeneity evidence warns that a single sentiment measure may fit some markets and carry little information for others. Th</w:t>
      </w:r>
      <w:r w:rsidR="003327BA">
        <w:t>is</w:t>
      </w:r>
      <w:r w:rsidRPr="00B27582">
        <w:t xml:space="preserve"> literature offers no procedure for choosing a trigger, and no way of telling in advance which markets a common trigger will fail.</w:t>
      </w:r>
    </w:p>
    <w:p w14:paraId="431893AC" w14:textId="77777777" w:rsidR="00DB772E" w:rsidRDefault="00DB772E"/>
    <w:p w14:paraId="3804812E" w14:textId="5A6D03A7" w:rsidR="00DB772E" w:rsidRDefault="00DB772E">
      <w:r>
        <w:t>2.6 Research Gap</w:t>
      </w:r>
    </w:p>
    <w:p w14:paraId="0F08F11E" w14:textId="3D7F83E2" w:rsidR="005D72D8" w:rsidRPr="005D72D8" w:rsidRDefault="005D72D8" w:rsidP="005D72D8">
      <w:r w:rsidRPr="005D72D8">
        <w:t xml:space="preserve">Three gaps follow. </w:t>
      </w:r>
      <w:r w:rsidR="009706EF" w:rsidRPr="009706EF">
        <w:t>First, the empirical record for the state-based metric is thin: two developed indices under two US-based triggers (Ahmed and Satchell, 2018). The papers citing that study extend its theory; we found no application of the metric to data.</w:t>
      </w:r>
    </w:p>
    <w:p w14:paraId="6516D6D3" w14:textId="77777777" w:rsidR="005D72D8" w:rsidRPr="005D72D8" w:rsidRDefault="005D72D8" w:rsidP="005D72D8">
      <w:r w:rsidRPr="005D72D8">
        <w:t>Second, the trigger problem is open. Ahmed and Satchell call finding an appropriate trigger non-trivial and leave it to future research. The sentiment evidence is locally heterogeneous (Schmeling, 2009; Vuong and Suzuki, 2022), so a common trigger cannot be assumed to fit every market. No procedure exists for choosing one, and no diagnostic tells in advance where a common trigger will fail.</w:t>
      </w:r>
    </w:p>
    <w:p w14:paraId="383C4F12" w14:textId="77777777" w:rsidR="005D72D8" w:rsidRPr="005D72D8" w:rsidRDefault="005D72D8" w:rsidP="005D72D8">
      <w:r w:rsidRPr="005D72D8">
        <w:t>Third, the labels have not been checked against what returns do next. Ahmed and Satchell place forecasting beyond their scope, and no later study has tested whether the estimated states carry information about subsequent returns.</w:t>
      </w:r>
    </w:p>
    <w:p w14:paraId="7CB22706" w14:textId="77777777" w:rsidR="005D72D8" w:rsidRPr="005D72D8" w:rsidRDefault="005D72D8" w:rsidP="005D72D8">
      <w:r w:rsidRPr="005D72D8">
        <w:t>This paper takes the gaps in order: a screened international panel under a single common trigger, a selection procedure with a diagnostic for where that trigger fails, and a test of the forward-return content of the resulting classifications.</w:t>
      </w:r>
    </w:p>
    <w:p w14:paraId="52F059DC" w14:textId="77777777" w:rsidR="00DB772E" w:rsidRDefault="00DB772E"/>
    <w:sectPr w:rsidR="00DB772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949"/>
    <w:multiLevelType w:val="multilevel"/>
    <w:tmpl w:val="D13A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F4425"/>
    <w:multiLevelType w:val="multilevel"/>
    <w:tmpl w:val="E7D47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A16EC"/>
    <w:multiLevelType w:val="multilevel"/>
    <w:tmpl w:val="31109D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207DB"/>
    <w:multiLevelType w:val="multilevel"/>
    <w:tmpl w:val="1408C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444367"/>
    <w:multiLevelType w:val="multilevel"/>
    <w:tmpl w:val="0836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57CFE"/>
    <w:multiLevelType w:val="multilevel"/>
    <w:tmpl w:val="05D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740BB0"/>
    <w:multiLevelType w:val="multilevel"/>
    <w:tmpl w:val="33A4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E31AF6"/>
    <w:multiLevelType w:val="multilevel"/>
    <w:tmpl w:val="132C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F43343"/>
    <w:multiLevelType w:val="multilevel"/>
    <w:tmpl w:val="7EA4D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612067">
    <w:abstractNumId w:val="6"/>
  </w:num>
  <w:num w:numId="2" w16cid:durableId="165050652">
    <w:abstractNumId w:val="8"/>
  </w:num>
  <w:num w:numId="3" w16cid:durableId="1748456620">
    <w:abstractNumId w:val="7"/>
  </w:num>
  <w:num w:numId="4" w16cid:durableId="685642175">
    <w:abstractNumId w:val="3"/>
  </w:num>
  <w:num w:numId="5" w16cid:durableId="1498233105">
    <w:abstractNumId w:val="0"/>
  </w:num>
  <w:num w:numId="6" w16cid:durableId="642662298">
    <w:abstractNumId w:val="1"/>
  </w:num>
  <w:num w:numId="7" w16cid:durableId="1262641048">
    <w:abstractNumId w:val="5"/>
  </w:num>
  <w:num w:numId="8" w16cid:durableId="1794714379">
    <w:abstractNumId w:val="4"/>
  </w:num>
  <w:num w:numId="9" w16cid:durableId="20486757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C68"/>
    <w:rsid w:val="00003451"/>
    <w:rsid w:val="00043794"/>
    <w:rsid w:val="00055720"/>
    <w:rsid w:val="00085F18"/>
    <w:rsid w:val="000A7633"/>
    <w:rsid w:val="000C1FB0"/>
    <w:rsid w:val="000C27B2"/>
    <w:rsid w:val="000D17B4"/>
    <w:rsid w:val="000E1F66"/>
    <w:rsid w:val="000F14C7"/>
    <w:rsid w:val="001068C6"/>
    <w:rsid w:val="0011448D"/>
    <w:rsid w:val="00134786"/>
    <w:rsid w:val="001740E9"/>
    <w:rsid w:val="001B1956"/>
    <w:rsid w:val="001B512D"/>
    <w:rsid w:val="001C6388"/>
    <w:rsid w:val="001E0B67"/>
    <w:rsid w:val="001E0D6F"/>
    <w:rsid w:val="001F64C9"/>
    <w:rsid w:val="00201A73"/>
    <w:rsid w:val="00210CC6"/>
    <w:rsid w:val="00221B13"/>
    <w:rsid w:val="002256AC"/>
    <w:rsid w:val="0024007B"/>
    <w:rsid w:val="00243769"/>
    <w:rsid w:val="002437B2"/>
    <w:rsid w:val="00245420"/>
    <w:rsid w:val="00247D6E"/>
    <w:rsid w:val="00266348"/>
    <w:rsid w:val="0027369F"/>
    <w:rsid w:val="002860F8"/>
    <w:rsid w:val="002918F8"/>
    <w:rsid w:val="0029205F"/>
    <w:rsid w:val="002A116B"/>
    <w:rsid w:val="002B7F25"/>
    <w:rsid w:val="002F3958"/>
    <w:rsid w:val="00307B0F"/>
    <w:rsid w:val="00316F82"/>
    <w:rsid w:val="003327BA"/>
    <w:rsid w:val="00360F6E"/>
    <w:rsid w:val="003B13BD"/>
    <w:rsid w:val="003D4E60"/>
    <w:rsid w:val="003F63C1"/>
    <w:rsid w:val="00404FA9"/>
    <w:rsid w:val="00441545"/>
    <w:rsid w:val="00465C34"/>
    <w:rsid w:val="00465C68"/>
    <w:rsid w:val="00496135"/>
    <w:rsid w:val="004B1811"/>
    <w:rsid w:val="004B40E2"/>
    <w:rsid w:val="004B68AA"/>
    <w:rsid w:val="004D1A98"/>
    <w:rsid w:val="004F0FC0"/>
    <w:rsid w:val="00524AD4"/>
    <w:rsid w:val="0052686E"/>
    <w:rsid w:val="005777E1"/>
    <w:rsid w:val="00595CDC"/>
    <w:rsid w:val="00596867"/>
    <w:rsid w:val="005A2DC7"/>
    <w:rsid w:val="005C1AB0"/>
    <w:rsid w:val="005C1F1C"/>
    <w:rsid w:val="005D72D8"/>
    <w:rsid w:val="005E237B"/>
    <w:rsid w:val="00632085"/>
    <w:rsid w:val="00645404"/>
    <w:rsid w:val="00647029"/>
    <w:rsid w:val="00695DEB"/>
    <w:rsid w:val="006B50E6"/>
    <w:rsid w:val="006C5683"/>
    <w:rsid w:val="006D654C"/>
    <w:rsid w:val="006E2275"/>
    <w:rsid w:val="006F1623"/>
    <w:rsid w:val="0071190F"/>
    <w:rsid w:val="00747918"/>
    <w:rsid w:val="00756BE9"/>
    <w:rsid w:val="007B47E0"/>
    <w:rsid w:val="007D4345"/>
    <w:rsid w:val="00812AB0"/>
    <w:rsid w:val="00814A70"/>
    <w:rsid w:val="0088641A"/>
    <w:rsid w:val="00886771"/>
    <w:rsid w:val="008B2E86"/>
    <w:rsid w:val="008B6D36"/>
    <w:rsid w:val="008D5966"/>
    <w:rsid w:val="00911C72"/>
    <w:rsid w:val="009355A6"/>
    <w:rsid w:val="009706EF"/>
    <w:rsid w:val="00997F2B"/>
    <w:rsid w:val="009C091B"/>
    <w:rsid w:val="009D6E26"/>
    <w:rsid w:val="009D733A"/>
    <w:rsid w:val="009D74D0"/>
    <w:rsid w:val="00A03C7C"/>
    <w:rsid w:val="00A2064C"/>
    <w:rsid w:val="00A20CF0"/>
    <w:rsid w:val="00A25AEE"/>
    <w:rsid w:val="00A551D5"/>
    <w:rsid w:val="00A66A70"/>
    <w:rsid w:val="00A831B2"/>
    <w:rsid w:val="00A86528"/>
    <w:rsid w:val="00AA27F5"/>
    <w:rsid w:val="00AB7B5D"/>
    <w:rsid w:val="00B27582"/>
    <w:rsid w:val="00B3715E"/>
    <w:rsid w:val="00B701D2"/>
    <w:rsid w:val="00B71A0C"/>
    <w:rsid w:val="00B73E97"/>
    <w:rsid w:val="00B8364F"/>
    <w:rsid w:val="00B8642C"/>
    <w:rsid w:val="00B94E25"/>
    <w:rsid w:val="00B94E78"/>
    <w:rsid w:val="00BD73AB"/>
    <w:rsid w:val="00C22D55"/>
    <w:rsid w:val="00C3684E"/>
    <w:rsid w:val="00C44C79"/>
    <w:rsid w:val="00C608E0"/>
    <w:rsid w:val="00CA6D16"/>
    <w:rsid w:val="00CC6260"/>
    <w:rsid w:val="00CE3C97"/>
    <w:rsid w:val="00CE6396"/>
    <w:rsid w:val="00D000AD"/>
    <w:rsid w:val="00D10390"/>
    <w:rsid w:val="00D209CC"/>
    <w:rsid w:val="00D50479"/>
    <w:rsid w:val="00D55FCA"/>
    <w:rsid w:val="00D74CA3"/>
    <w:rsid w:val="00D97648"/>
    <w:rsid w:val="00DA626C"/>
    <w:rsid w:val="00DB772E"/>
    <w:rsid w:val="00E17798"/>
    <w:rsid w:val="00E44935"/>
    <w:rsid w:val="00E46926"/>
    <w:rsid w:val="00E47BF8"/>
    <w:rsid w:val="00E55E47"/>
    <w:rsid w:val="00E67F25"/>
    <w:rsid w:val="00E712A2"/>
    <w:rsid w:val="00E872C4"/>
    <w:rsid w:val="00E91880"/>
    <w:rsid w:val="00F26C2A"/>
    <w:rsid w:val="00F37CDB"/>
    <w:rsid w:val="00F848CC"/>
    <w:rsid w:val="00F90AB2"/>
    <w:rsid w:val="00FD6BD3"/>
    <w:rsid w:val="00FE4DCC"/>
    <w:rsid w:val="00FF4957"/>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22F45"/>
  <w15:chartTrackingRefBased/>
  <w15:docId w15:val="{25955CD0-C63B-404B-AE15-B66BF0031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C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5C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5C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5C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65C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65C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C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C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C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C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5C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5C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5C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65C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65C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C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C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C68"/>
    <w:rPr>
      <w:rFonts w:eastAsiaTheme="majorEastAsia" w:cstheme="majorBidi"/>
      <w:color w:val="272727" w:themeColor="text1" w:themeTint="D8"/>
    </w:rPr>
  </w:style>
  <w:style w:type="paragraph" w:styleId="Title">
    <w:name w:val="Title"/>
    <w:basedOn w:val="Normal"/>
    <w:next w:val="Normal"/>
    <w:link w:val="TitleChar"/>
    <w:uiPriority w:val="10"/>
    <w:qFormat/>
    <w:rsid w:val="00465C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C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C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C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C68"/>
    <w:pPr>
      <w:spacing w:before="160"/>
      <w:jc w:val="center"/>
    </w:pPr>
    <w:rPr>
      <w:i/>
      <w:iCs/>
      <w:color w:val="404040" w:themeColor="text1" w:themeTint="BF"/>
    </w:rPr>
  </w:style>
  <w:style w:type="character" w:customStyle="1" w:styleId="QuoteChar">
    <w:name w:val="Quote Char"/>
    <w:basedOn w:val="DefaultParagraphFont"/>
    <w:link w:val="Quote"/>
    <w:uiPriority w:val="29"/>
    <w:rsid w:val="00465C68"/>
    <w:rPr>
      <w:i/>
      <w:iCs/>
      <w:color w:val="404040" w:themeColor="text1" w:themeTint="BF"/>
    </w:rPr>
  </w:style>
  <w:style w:type="paragraph" w:styleId="ListParagraph">
    <w:name w:val="List Paragraph"/>
    <w:basedOn w:val="Normal"/>
    <w:uiPriority w:val="34"/>
    <w:qFormat/>
    <w:rsid w:val="00465C68"/>
    <w:pPr>
      <w:ind w:left="720"/>
      <w:contextualSpacing/>
    </w:pPr>
  </w:style>
  <w:style w:type="character" w:styleId="IntenseEmphasis">
    <w:name w:val="Intense Emphasis"/>
    <w:basedOn w:val="DefaultParagraphFont"/>
    <w:uiPriority w:val="21"/>
    <w:qFormat/>
    <w:rsid w:val="00465C68"/>
    <w:rPr>
      <w:i/>
      <w:iCs/>
      <w:color w:val="0F4761" w:themeColor="accent1" w:themeShade="BF"/>
    </w:rPr>
  </w:style>
  <w:style w:type="paragraph" w:styleId="IntenseQuote">
    <w:name w:val="Intense Quote"/>
    <w:basedOn w:val="Normal"/>
    <w:next w:val="Normal"/>
    <w:link w:val="IntenseQuoteChar"/>
    <w:uiPriority w:val="30"/>
    <w:qFormat/>
    <w:rsid w:val="00465C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5C68"/>
    <w:rPr>
      <w:i/>
      <w:iCs/>
      <w:color w:val="0F4761" w:themeColor="accent1" w:themeShade="BF"/>
    </w:rPr>
  </w:style>
  <w:style w:type="character" w:styleId="IntenseReference">
    <w:name w:val="Intense Reference"/>
    <w:basedOn w:val="DefaultParagraphFont"/>
    <w:uiPriority w:val="32"/>
    <w:qFormat/>
    <w:rsid w:val="00465C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4509</TotalTime>
  <Pages>9</Pages>
  <Words>2915</Words>
  <Characters>18663</Characters>
  <Application>Microsoft Office Word</Application>
  <DocSecurity>0</DocSecurity>
  <Lines>18663</Lines>
  <Paragraphs>980</Paragraphs>
  <ScaleCrop>false</ScaleCrop>
  <Company/>
  <LinksUpToDate>false</LinksUpToDate>
  <CharactersWithSpaces>20598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Rong Quan Yeo</dc:creator>
  <cp:keywords/>
  <dc:description/>
  <cp:lastModifiedBy>Rong Quan Yeo</cp:lastModifiedBy>
  <cp:revision>145</cp:revision>
  <dcterms:created xsi:type="dcterms:W3CDTF">2026-06-28T08:07:00Z</dcterms:created>
  <dcterms:modified xsi:type="dcterms:W3CDTF">2026-07-05T16:43:00Z</dcterms:modified>
</cp:coreProperties>
</file>