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4089" w14:textId="77777777" w:rsidR="008357B9" w:rsidRDefault="00000000">
      <w:pPr>
        <w:spacing w:after="60"/>
        <w:jc w:val="center"/>
      </w:pPr>
      <w:r>
        <w:rPr>
          <w:b/>
          <w:bCs/>
          <w:color w:val="1F3864"/>
          <w:sz w:val="32"/>
          <w:szCs w:val="32"/>
        </w:rPr>
        <w:t>Composite Trigger Variable Investigation</w:t>
      </w:r>
    </w:p>
    <w:p w14:paraId="1D56B46B" w14:textId="77777777" w:rsidR="008357B9" w:rsidRDefault="00000000">
      <w:pPr>
        <w:spacing w:after="60"/>
        <w:jc w:val="center"/>
      </w:pPr>
      <w:r>
        <w:rPr>
          <w:color w:val="444444"/>
          <w:sz w:val="22"/>
          <w:szCs w:val="22"/>
        </w:rPr>
        <w:t>Methodology, Rationale and Empirical Findings</w:t>
      </w:r>
    </w:p>
    <w:p w14:paraId="22542EE3" w14:textId="77777777" w:rsidR="008357B9" w:rsidRDefault="00000000">
      <w:pPr>
        <w:spacing w:after="240"/>
        <w:jc w:val="center"/>
      </w:pPr>
      <w:proofErr w:type="spellStart"/>
      <w:proofErr w:type="gramStart"/>
      <w:r>
        <w:rPr>
          <w:color w:val="888888"/>
          <w:sz w:val="18"/>
          <w:szCs w:val="18"/>
        </w:rPr>
        <w:t>RongQuan</w:t>
      </w:r>
      <w:proofErr w:type="spellEnd"/>
      <w:r>
        <w:rPr>
          <w:color w:val="888888"/>
          <w:sz w:val="18"/>
          <w:szCs w:val="18"/>
        </w:rPr>
        <w:t xml:space="preserve">  ·</w:t>
      </w:r>
      <w:proofErr w:type="gramEnd"/>
      <w:r>
        <w:rPr>
          <w:color w:val="888888"/>
          <w:sz w:val="18"/>
          <w:szCs w:val="18"/>
        </w:rPr>
        <w:t xml:space="preserve">  UROP, Imperial College </w:t>
      </w:r>
      <w:proofErr w:type="gramStart"/>
      <w:r>
        <w:rPr>
          <w:color w:val="888888"/>
          <w:sz w:val="18"/>
          <w:szCs w:val="18"/>
        </w:rPr>
        <w:t>London  ·</w:t>
      </w:r>
      <w:proofErr w:type="gramEnd"/>
      <w:r>
        <w:rPr>
          <w:color w:val="888888"/>
          <w:sz w:val="18"/>
          <w:szCs w:val="18"/>
        </w:rPr>
        <w:t xml:space="preserve">  June 2026</w:t>
      </w:r>
    </w:p>
    <w:p w14:paraId="12976EEB" w14:textId="77777777" w:rsidR="008357B9" w:rsidRDefault="00000000">
      <w:pPr>
        <w:pStyle w:val="Heading1"/>
        <w:pBdr>
          <w:bottom w:val="single" w:sz="4" w:space="1" w:color="1F3864"/>
        </w:pBdr>
      </w:pPr>
      <w:r>
        <w:t>1. Motivation and Research Question</w:t>
      </w:r>
    </w:p>
    <w:p w14:paraId="5686E68A" w14:textId="77777777" w:rsidR="008357B9" w:rsidRDefault="00000000">
      <w:pPr>
        <w:spacing w:after="140"/>
      </w:pPr>
      <w:r>
        <w:rPr>
          <w:color w:val="111111"/>
        </w:rPr>
        <w:t>The Ahmed &amp; Satchell (2018) framework classifies equity returns into three regimes (mean-reverting, random walk efficient, explosive) based on whether an exogenous trigger variable crosses estimated thresholds c1 and c2. The original paper used MCSI as the trigger for S&amp;P 500 and FTSE 100. Earlier in this project, MCSI was shown to suffer from severe threshold staleness when applied out-of-sample, and the Global OECD CCI was identified as a superior alternative for 14 of 23 markets.</w:t>
      </w:r>
    </w:p>
    <w:p w14:paraId="10472CAE" w14:textId="77777777" w:rsidR="008357B9" w:rsidRDefault="00000000">
      <w:pPr>
        <w:spacing w:after="140"/>
      </w:pPr>
      <w:r>
        <w:rPr>
          <w:color w:val="111111"/>
        </w:rPr>
        <w:t>However, the Global OECD CCI fails the Granger exogeneity test for 9 markets — the most globally integrated equity markets (S&amp;P 500, FTSE 100, DAX, CAC40, Nikkei, TSX, ASX200, Nifty50, EuroStoxx50). For these markets, the equity returns themselves significantly predict next month's global CCI through the home country's contribution to the GDP-weighted aggregate. The classification becomes circular: returns are explaining a trigger that is partly caused by those returns.</w:t>
      </w:r>
    </w:p>
    <w:p w14:paraId="5FFBF73F" w14:textId="77777777" w:rsidR="008357B9" w:rsidRDefault="00000000">
      <w:pPr>
        <w:pStyle w:val="Heading1"/>
        <w:pBdr>
          <w:bottom w:val="single" w:sz="4" w:space="1" w:color="1F3864"/>
        </w:pBdr>
      </w:pPr>
      <w:r>
        <w:t>2. Methodological Intuition</w:t>
      </w:r>
    </w:p>
    <w:p w14:paraId="60491EE6" w14:textId="77777777" w:rsidR="008357B9" w:rsidRDefault="00000000">
      <w:pPr>
        <w:pStyle w:val="Heading2"/>
      </w:pPr>
      <w:r>
        <w:t>2.1 Why a composite rather than a single trigger</w:t>
      </w:r>
    </w:p>
    <w:p w14:paraId="703356C9" w14:textId="77777777" w:rsidR="008357B9" w:rsidRDefault="00000000">
      <w:pPr>
        <w:spacing w:after="140"/>
      </w:pPr>
      <w:r>
        <w:rPr>
          <w:color w:val="111111"/>
        </w:rPr>
        <w:t>No single global indicator simultaneously satisfies all four requirements for the full 23-market panel: exogeneity, threshold stability, both-tailed coverage, and global applicability. Each candidate has a different failure mode. Combining multiple indicators that fail for different reasons can in principle produce a composite that satisfies more requirements than any individual component does.</w:t>
      </w:r>
    </w:p>
    <w:p w14:paraId="7C95592C" w14:textId="77777777" w:rsidR="008357B9" w:rsidRDefault="00000000">
      <w:pPr>
        <w:spacing w:after="140"/>
      </w:pPr>
      <w:r>
        <w:rPr>
          <w:color w:val="111111"/>
        </w:rPr>
        <w:t>This is the same logic Baker and Wurgler (2006) used to construct their investor sentiment index. They combined six imperfect sentiment proxies and extracted the common factor via PCA, arguing that the noise in each proxy is largely uncorrelated across proxies while the common signal is what they all share. The PCA isolates this common variation.</w:t>
      </w:r>
    </w:p>
    <w:p w14:paraId="088AEC71" w14:textId="77777777" w:rsidR="008357B9" w:rsidRDefault="00000000">
      <w:pPr>
        <w:pStyle w:val="Heading2"/>
      </w:pPr>
      <w:r>
        <w:t>2.2 Why I cannot directly replicate Baker-Wurgler</w:t>
      </w:r>
    </w:p>
    <w:p w14:paraId="549D5D7A" w14:textId="77777777" w:rsidR="008357B9" w:rsidRDefault="00000000">
      <w:pPr>
        <w:spacing w:after="120"/>
      </w:pPr>
      <w:r>
        <w:rPr>
          <w:color w:val="111111"/>
        </w:rPr>
        <w:t>Baker-Wurgler's framework and the Ahmed-Satchell framework have fundamentally different identification requirements. This is important and worth being explicit about.</w:t>
      </w:r>
    </w:p>
    <w:p w14:paraId="3417F487" w14:textId="77777777" w:rsidR="008357B9" w:rsidRDefault="00000000">
      <w:pPr>
        <w:pStyle w:val="ListParagraph"/>
        <w:numPr>
          <w:ilvl w:val="0"/>
          <w:numId w:val="2"/>
        </w:numPr>
        <w:spacing w:after="80"/>
      </w:pPr>
      <w:r>
        <w:rPr>
          <w:color w:val="111111"/>
        </w:rPr>
        <w:t>Baker-Wurgler use their composite to predict cross-sectional stock returns. Their validation is predictive performance: does high sentiment today predict low subsequent returns for certain types of stocks? They do not require exogeneity in the Granger causality sense because they are not making a causal identification claim.</w:t>
      </w:r>
    </w:p>
    <w:p w14:paraId="160CA567" w14:textId="77777777" w:rsidR="008357B9" w:rsidRDefault="00000000">
      <w:pPr>
        <w:pStyle w:val="ListParagraph"/>
        <w:numPr>
          <w:ilvl w:val="0"/>
          <w:numId w:val="2"/>
        </w:numPr>
        <w:spacing w:after="80"/>
      </w:pPr>
      <w:r>
        <w:rPr>
          <w:color w:val="111111"/>
        </w:rPr>
        <w:t>Ahmed-Satchell require the trigger to be predetermined and not caused by the equity returns it is supposed to explain. The TAR framework's regime classification is only meaningful if Z(t) is exogenous to subsequent returns. This is a stricter requirement.</w:t>
      </w:r>
    </w:p>
    <w:p w14:paraId="7E322965" w14:textId="77777777" w:rsidR="008357B9" w:rsidRDefault="00000000">
      <w:pPr>
        <w:pStyle w:val="ListParagraph"/>
        <w:numPr>
          <w:ilvl w:val="0"/>
          <w:numId w:val="2"/>
        </w:numPr>
        <w:spacing w:after="80"/>
      </w:pPr>
      <w:r>
        <w:rPr>
          <w:color w:val="111111"/>
        </w:rPr>
        <w:t>Baker-Wurgler's individual components are also US-specific (closed-end fund discounts, IPO volume, NYSE turnover) and the public data ends in 2011. None of their components are globally available for the 23-market panel, and several are mechanically endogenous to equity prices by construction.</w:t>
      </w:r>
    </w:p>
    <w:p w14:paraId="656B04BF" w14:textId="77777777" w:rsidR="008357B9" w:rsidRDefault="00000000">
      <w:pPr>
        <w:spacing w:after="180"/>
      </w:pPr>
      <w:proofErr w:type="gramStart"/>
      <w:r>
        <w:rPr>
          <w:color w:val="111111"/>
        </w:rPr>
        <w:t>So</w:t>
      </w:r>
      <w:proofErr w:type="gramEnd"/>
      <w:r>
        <w:rPr>
          <w:color w:val="111111"/>
        </w:rPr>
        <w:t xml:space="preserve"> while Baker-Wurgler's PCA construction methodology is the right inspiration, applying it to my framework requires solving an exogeneity problem that they did not face. This is the core methodological challenge.</w:t>
      </w:r>
    </w:p>
    <w:p w14:paraId="55A1F35E" w14:textId="77777777" w:rsidR="008357B9" w:rsidRDefault="00000000">
      <w:pPr>
        <w:pStyle w:val="Heading2"/>
      </w:pPr>
      <w:r>
        <w:t xml:space="preserve">2.3 The </w:t>
      </w:r>
      <w:proofErr w:type="spellStart"/>
      <w:r>
        <w:t>orthogonalisation</w:t>
      </w:r>
      <w:proofErr w:type="spellEnd"/>
      <w:r>
        <w:t xml:space="preserve"> approach and why it is needed</w:t>
      </w:r>
    </w:p>
    <w:p w14:paraId="41025123" w14:textId="77777777" w:rsidR="008357B9" w:rsidRDefault="00000000">
      <w:pPr>
        <w:spacing w:after="140"/>
      </w:pPr>
      <w:r>
        <w:rPr>
          <w:color w:val="111111"/>
        </w:rPr>
        <w:t>Each candidate component (CCI, VIX, BCI) contains two kinds of variation: genuine financial conditions signal, and equity market feedback. When the S&amp;P 500 crashes, CCI drops partly because consumers feel poorer through the wealth effect. VIX spikes mechanically because it is computed from S&amp;P options. BCI falls partly because businesses observe deteriorating equity markets. The equity feedback contaminates each component to differing degrees.</w:t>
      </w:r>
    </w:p>
    <w:p w14:paraId="10EF8C73" w14:textId="77777777" w:rsidR="008357B9" w:rsidRDefault="00000000">
      <w:pPr>
        <w:spacing w:after="100"/>
      </w:pPr>
      <w:r>
        <w:rPr>
          <w:color w:val="111111"/>
        </w:rPr>
        <w:t xml:space="preserve">The standard fix is </w:t>
      </w:r>
      <w:proofErr w:type="spellStart"/>
      <w:r>
        <w:rPr>
          <w:color w:val="111111"/>
        </w:rPr>
        <w:t>orthogonalisation</w:t>
      </w:r>
      <w:proofErr w:type="spellEnd"/>
      <w:r>
        <w:rPr>
          <w:color w:val="111111"/>
        </w:rPr>
        <w:t>. For each component and each market separately, regress the component on lagged equity returns and take the residual:</w:t>
      </w:r>
    </w:p>
    <w:p w14:paraId="50EBDE5C" w14:textId="77777777" w:rsidR="008357B9" w:rsidRDefault="00000000">
      <w:pPr>
        <w:spacing w:after="100"/>
        <w:jc w:val="center"/>
      </w:pPr>
      <w:r>
        <w:rPr>
          <w:color w:val="111111"/>
          <w:sz w:val="19"/>
          <w:szCs w:val="19"/>
        </w:rPr>
        <w:lastRenderedPageBreak/>
        <w:t>CCI(t) = α + β₁·r(t-1) + β₂·r(t-2) + ... + βₖ·r(t-k) + ε(t)</w:t>
      </w:r>
    </w:p>
    <w:p w14:paraId="03BE4D50" w14:textId="77777777" w:rsidR="008357B9" w:rsidRDefault="00000000">
      <w:pPr>
        <w:spacing w:after="180"/>
      </w:pPr>
      <w:r>
        <w:rPr>
          <w:color w:val="111111"/>
        </w:rPr>
        <w:t xml:space="preserve">The residual ε(t) is the part of CCI that cannot be linearly predicted from the past k months of returns. Apply this to each component, then combine the residuals via PCA. The first principal component is the composite. By construction, the </w:t>
      </w:r>
      <w:proofErr w:type="spellStart"/>
      <w:r>
        <w:rPr>
          <w:color w:val="111111"/>
        </w:rPr>
        <w:t>orthogonalisation</w:t>
      </w:r>
      <w:proofErr w:type="spellEnd"/>
      <w:r>
        <w:rPr>
          <w:color w:val="111111"/>
        </w:rPr>
        <w:t xml:space="preserve"> removes the equity feedback embedded in each component, leaving the genuine sentiment signal.</w:t>
      </w:r>
    </w:p>
    <w:p w14:paraId="36A89A07" w14:textId="77777777" w:rsidR="008357B9" w:rsidRDefault="00000000">
      <w:r>
        <w:br w:type="page"/>
      </w:r>
    </w:p>
    <w:p w14:paraId="7D29DF92" w14:textId="77777777" w:rsidR="008357B9" w:rsidRDefault="00000000">
      <w:pPr>
        <w:pStyle w:val="Heading1"/>
        <w:pBdr>
          <w:bottom w:val="single" w:sz="4" w:space="1" w:color="1F3864"/>
        </w:pBdr>
      </w:pPr>
      <w:r>
        <w:lastRenderedPageBreak/>
        <w:t>3. Initial Approach and the Tautology Discovery</w:t>
      </w:r>
    </w:p>
    <w:p w14:paraId="4A72ECDC" w14:textId="77777777" w:rsidR="008357B9" w:rsidRDefault="00000000">
      <w:pPr>
        <w:pStyle w:val="Heading2"/>
      </w:pPr>
      <w:r>
        <w:t>3.1 The first composite</w:t>
      </w:r>
    </w:p>
    <w:p w14:paraId="35F58179" w14:textId="77777777" w:rsidR="008357B9" w:rsidRDefault="00000000">
      <w:pPr>
        <w:spacing w:after="140"/>
      </w:pPr>
      <w:r>
        <w:rPr>
          <w:color w:val="111111"/>
        </w:rPr>
        <w:t xml:space="preserve">The initial composite used CCI, VIX and BCI as components. Each was </w:t>
      </w:r>
      <w:proofErr w:type="spellStart"/>
      <w:r>
        <w:rPr>
          <w:color w:val="111111"/>
        </w:rPr>
        <w:t>orthogonalised</w:t>
      </w:r>
      <w:proofErr w:type="spellEnd"/>
      <w:r>
        <w:rPr>
          <w:color w:val="111111"/>
        </w:rPr>
        <w:t xml:space="preserve"> against a fixed 6 lags of own-market equity returns. This 6-lag choice was an arbitrary placeholder rather than a principled selection — at the time, it was based on rough intuition that six months should capture medium-term equity feedback into sentiment surveys. The Granger test was run at the statsmodels default of 4 lags. The result appeared excellent: 23 of 23 markets passed exogeneity, p-values between 0.58 and 1.00. PC1 explained 53-68% of variance with consistent loading signs across all markets. Both-tails validation passed for 17 of 23 markets.</w:t>
      </w:r>
    </w:p>
    <w:p w14:paraId="2674D8B9" w14:textId="17BA9E94" w:rsidR="008357B9" w:rsidRDefault="00000000">
      <w:pPr>
        <w:spacing w:after="180"/>
      </w:pPr>
      <w:r>
        <w:rPr>
          <w:color w:val="111111"/>
        </w:rPr>
        <w:t xml:space="preserve">This looked like the result </w:t>
      </w:r>
      <w:r w:rsidR="00D952B3">
        <w:rPr>
          <w:color w:val="111111"/>
        </w:rPr>
        <w:t xml:space="preserve">we were </w:t>
      </w:r>
      <w:r>
        <w:rPr>
          <w:color w:val="111111"/>
        </w:rPr>
        <w:t>hoping for: a universal trigger that satisfies exogeneity for the full panel. But the regime proportions were degenerate. S&amp;P 500 was classified as EXP for 62% of the sample. FTSE 100 was 97% EXP. Hang Seng was 85% EXP. These proportions are economically implausible — markets are not in bubble states for two-thirds of their history.</w:t>
      </w:r>
    </w:p>
    <w:p w14:paraId="6BAAFBE8" w14:textId="77777777" w:rsidR="008357B9" w:rsidRDefault="00000000">
      <w:pPr>
        <w:pStyle w:val="Heading2"/>
      </w:pPr>
      <w:r>
        <w:t>3.2 Diagnosing the problem</w:t>
      </w:r>
    </w:p>
    <w:p w14:paraId="198EF728" w14:textId="77777777" w:rsidR="008357B9" w:rsidRDefault="00000000">
      <w:pPr>
        <w:spacing w:after="100"/>
      </w:pPr>
      <w:r>
        <w:rPr>
          <w:color w:val="111111"/>
        </w:rPr>
        <w:t xml:space="preserve">Running a lag sweep on the </w:t>
      </w:r>
      <w:proofErr w:type="spellStart"/>
      <w:r>
        <w:rPr>
          <w:color w:val="111111"/>
        </w:rPr>
        <w:t>orthogonalisation</w:t>
      </w:r>
      <w:proofErr w:type="spellEnd"/>
      <w:r>
        <w:rPr>
          <w:color w:val="111111"/>
        </w:rPr>
        <w:t xml:space="preserve"> parameter revealed something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4160"/>
      </w:tblGrid>
      <w:tr w:rsidR="008357B9" w14:paraId="575D3D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AC8762" w14:textId="77777777" w:rsidR="008357B9" w:rsidRDefault="00000000">
            <w:r>
              <w:rPr>
                <w:b/>
                <w:bCs/>
                <w:color w:val="FFFFFF"/>
                <w:sz w:val="18"/>
                <w:szCs w:val="18"/>
              </w:rPr>
              <w:t>N_ORTH</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D289E1" w14:textId="77777777" w:rsidR="008357B9" w:rsidRDefault="00000000">
            <w:r>
              <w:rPr>
                <w:b/>
                <w:bCs/>
                <w:color w:val="FFFFFF"/>
                <w:sz w:val="18"/>
                <w:szCs w:val="18"/>
              </w:rPr>
              <w:t>Exogeneity pass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0036F6" w14:textId="77777777" w:rsidR="008357B9" w:rsidRDefault="00000000">
            <w:r>
              <w:rPr>
                <w:b/>
                <w:bCs/>
                <w:color w:val="FFFFFF"/>
                <w:sz w:val="18"/>
                <w:szCs w:val="18"/>
              </w:rPr>
              <w:t>S&amp;P 500 RW%</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493404" w14:textId="77777777" w:rsidR="008357B9" w:rsidRDefault="00000000">
            <w:r>
              <w:rPr>
                <w:b/>
                <w:bCs/>
                <w:color w:val="FFFFFF"/>
                <w:sz w:val="18"/>
                <w:szCs w:val="18"/>
              </w:rPr>
              <w:t>Verdict</w:t>
            </w:r>
          </w:p>
        </w:tc>
      </w:tr>
      <w:tr w:rsidR="008357B9" w14:paraId="3FD7E6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256ED" w14:textId="77777777" w:rsidR="008357B9" w:rsidRPr="00D952B3" w:rsidRDefault="00000000">
            <w:r w:rsidRPr="00D952B3">
              <w:rPr>
                <w:sz w:val="18"/>
                <w:szCs w:val="18"/>
              </w:rPr>
              <w:t>0 (raw)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D83D0" w14:textId="77777777" w:rsidR="008357B9" w:rsidRPr="00D952B3" w:rsidRDefault="00000000">
            <w:r w:rsidRPr="00D952B3">
              <w:rPr>
                <w:sz w:val="18"/>
                <w:szCs w:val="18"/>
              </w:rPr>
              <w:t>14/23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68180" w14:textId="77777777" w:rsidR="008357B9" w:rsidRPr="00D952B3" w:rsidRDefault="00000000">
            <w:r w:rsidRPr="00D952B3">
              <w:rPr>
                <w:sz w:val="18"/>
                <w:szCs w:val="18"/>
              </w:rPr>
              <w:t>51%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2FB85" w14:textId="77777777" w:rsidR="008357B9" w:rsidRPr="00D952B3" w:rsidRDefault="00000000">
            <w:r w:rsidRPr="00D952B3">
              <w:rPr>
                <w:sz w:val="18"/>
                <w:szCs w:val="18"/>
              </w:rPr>
              <w:t>Sensible — same as CCI alone</w:t>
            </w:r>
          </w:p>
        </w:tc>
      </w:tr>
      <w:tr w:rsidR="008357B9" w14:paraId="3BE98E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A228B0" w14:textId="77777777" w:rsidR="008357B9" w:rsidRPr="00D952B3" w:rsidRDefault="00000000">
            <w:r w:rsidRPr="00D952B3">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FFD435" w14:textId="77777777" w:rsidR="008357B9" w:rsidRPr="00D952B3" w:rsidRDefault="00000000">
            <w:r w:rsidRPr="00D952B3">
              <w:rPr>
                <w:sz w:val="18"/>
                <w:szCs w:val="18"/>
              </w:rPr>
              <w:t>2/23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7CE126" w14:textId="77777777" w:rsidR="008357B9" w:rsidRPr="00D952B3" w:rsidRDefault="00000000">
            <w:r w:rsidRPr="00D952B3">
              <w:rPr>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65E38" w14:textId="77777777" w:rsidR="008357B9" w:rsidRPr="00D952B3" w:rsidRDefault="00000000">
            <w:r w:rsidRPr="00D952B3">
              <w:rPr>
                <w:sz w:val="18"/>
                <w:szCs w:val="18"/>
              </w:rPr>
              <w:t xml:space="preserve">Incomplete </w:t>
            </w:r>
            <w:proofErr w:type="spellStart"/>
            <w:r w:rsidRPr="00D952B3">
              <w:rPr>
                <w:sz w:val="18"/>
                <w:szCs w:val="18"/>
              </w:rPr>
              <w:t>orthogonalisation</w:t>
            </w:r>
            <w:proofErr w:type="spellEnd"/>
          </w:p>
        </w:tc>
      </w:tr>
      <w:tr w:rsidR="008357B9" w14:paraId="48DE77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A67E3" w14:textId="77777777" w:rsidR="008357B9" w:rsidRPr="00D952B3" w:rsidRDefault="00000000">
            <w:r w:rsidRPr="00D952B3">
              <w:rPr>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012FB" w14:textId="77777777" w:rsidR="008357B9" w:rsidRPr="00D952B3" w:rsidRDefault="00000000">
            <w:r w:rsidRPr="00D952B3">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504C5" w14:textId="77777777" w:rsidR="008357B9" w:rsidRPr="00D952B3" w:rsidRDefault="00000000">
            <w:r w:rsidRPr="00D952B3">
              <w:rPr>
                <w:sz w:val="18"/>
                <w:szCs w:val="18"/>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4CE63" w14:textId="77777777" w:rsidR="008357B9" w:rsidRPr="00D952B3" w:rsidRDefault="00000000">
            <w:r w:rsidRPr="00D952B3">
              <w:rPr>
                <w:sz w:val="18"/>
                <w:szCs w:val="18"/>
              </w:rPr>
              <w:t xml:space="preserve">Incomplete </w:t>
            </w:r>
            <w:proofErr w:type="spellStart"/>
            <w:r w:rsidRPr="00D952B3">
              <w:rPr>
                <w:sz w:val="18"/>
                <w:szCs w:val="18"/>
              </w:rPr>
              <w:t>orthogonalisation</w:t>
            </w:r>
            <w:proofErr w:type="spellEnd"/>
          </w:p>
        </w:tc>
      </w:tr>
      <w:tr w:rsidR="008357B9" w14:paraId="0F59E3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8C9ADC" w14:textId="77777777" w:rsidR="008357B9" w:rsidRPr="00D952B3" w:rsidRDefault="00000000">
            <w:r w:rsidRPr="00D952B3">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1D9F0C" w14:textId="77777777" w:rsidR="008357B9" w:rsidRPr="00D952B3" w:rsidRDefault="00000000">
            <w:r w:rsidRPr="00D952B3">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6B60E3" w14:textId="77777777" w:rsidR="008357B9" w:rsidRPr="00D952B3" w:rsidRDefault="00000000">
            <w:r w:rsidRPr="00D952B3">
              <w:rPr>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70898F" w14:textId="77777777" w:rsidR="008357B9" w:rsidRPr="00D952B3" w:rsidRDefault="00000000">
            <w:r w:rsidRPr="00D952B3">
              <w:rPr>
                <w:sz w:val="18"/>
                <w:szCs w:val="18"/>
              </w:rPr>
              <w:t xml:space="preserve">Incomplete </w:t>
            </w:r>
            <w:proofErr w:type="spellStart"/>
            <w:r w:rsidRPr="00D952B3">
              <w:rPr>
                <w:sz w:val="18"/>
                <w:szCs w:val="18"/>
              </w:rPr>
              <w:t>orthogonalisation</w:t>
            </w:r>
            <w:proofErr w:type="spellEnd"/>
          </w:p>
        </w:tc>
      </w:tr>
      <w:tr w:rsidR="008357B9" w14:paraId="29ED70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85B18" w14:textId="77777777" w:rsidR="008357B9" w:rsidRPr="00D952B3" w:rsidRDefault="00000000">
            <w:r w:rsidRPr="00D952B3">
              <w:rPr>
                <w:sz w:val="18"/>
                <w:szCs w:val="18"/>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B5460" w14:textId="77777777" w:rsidR="008357B9" w:rsidRPr="00D952B3" w:rsidRDefault="00000000">
            <w:r w:rsidRPr="00D952B3">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0CA9B" w14:textId="77777777" w:rsidR="008357B9" w:rsidRPr="00D952B3" w:rsidRDefault="00000000">
            <w:r w:rsidRPr="00D952B3">
              <w:rPr>
                <w:sz w:val="18"/>
                <w:szCs w:val="18"/>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96D27" w14:textId="77777777" w:rsidR="008357B9" w:rsidRPr="00D952B3" w:rsidRDefault="00000000">
            <w:r w:rsidRPr="00D952B3">
              <w:rPr>
                <w:sz w:val="18"/>
                <w:szCs w:val="18"/>
              </w:rPr>
              <w:t xml:space="preserve">Incomplete </w:t>
            </w:r>
            <w:proofErr w:type="spellStart"/>
            <w:r w:rsidRPr="00D952B3">
              <w:rPr>
                <w:sz w:val="18"/>
                <w:szCs w:val="18"/>
              </w:rPr>
              <w:t>orthogonalisation</w:t>
            </w:r>
            <w:proofErr w:type="spellEnd"/>
          </w:p>
        </w:tc>
      </w:tr>
      <w:tr w:rsidR="008357B9" w14:paraId="51025F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514BBD5" w14:textId="77777777" w:rsidR="008357B9" w:rsidRPr="00D952B3" w:rsidRDefault="00000000">
            <w:r w:rsidRPr="00D952B3">
              <w:rPr>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776A202" w14:textId="77777777" w:rsidR="008357B9" w:rsidRPr="00D952B3" w:rsidRDefault="00000000">
            <w:r w:rsidRPr="00D952B3">
              <w:rPr>
                <w:sz w:val="18"/>
                <w:szCs w:val="18"/>
              </w:rPr>
              <w:t>23/23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D321970" w14:textId="77777777" w:rsidR="008357B9" w:rsidRPr="00D952B3" w:rsidRDefault="00000000">
            <w:r w:rsidRPr="00D952B3">
              <w:rPr>
                <w:sz w:val="18"/>
                <w:szCs w:val="18"/>
              </w:rPr>
              <w:t>1% (degenerate)</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606E16A" w14:textId="77777777" w:rsidR="008357B9" w:rsidRPr="00D952B3" w:rsidRDefault="00000000">
            <w:r w:rsidRPr="00D952B3">
              <w:rPr>
                <w:sz w:val="18"/>
                <w:szCs w:val="18"/>
              </w:rPr>
              <w:t>TAUTOLOGICAL — pass guaranteed</w:t>
            </w:r>
          </w:p>
        </w:tc>
      </w:tr>
      <w:tr w:rsidR="008357B9" w14:paraId="77D7C0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319497D" w14:textId="77777777" w:rsidR="008357B9" w:rsidRPr="00D952B3" w:rsidRDefault="00000000">
            <w:r w:rsidRPr="00D952B3">
              <w:rPr>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C253E5D" w14:textId="77777777" w:rsidR="008357B9" w:rsidRPr="00D952B3" w:rsidRDefault="00000000">
            <w:r w:rsidRPr="00D952B3">
              <w:rPr>
                <w:sz w:val="18"/>
                <w:szCs w:val="18"/>
              </w:rPr>
              <w:t>23/23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BD65C97" w14:textId="77777777" w:rsidR="008357B9" w:rsidRPr="00D952B3" w:rsidRDefault="00000000">
            <w:r w:rsidRPr="00D952B3">
              <w:rPr>
                <w:sz w:val="18"/>
                <w:szCs w:val="18"/>
              </w:rPr>
              <w:t>38% (degenerate)</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9AAC86D" w14:textId="77777777" w:rsidR="008357B9" w:rsidRPr="00D952B3" w:rsidRDefault="00000000">
            <w:r w:rsidRPr="00D952B3">
              <w:rPr>
                <w:sz w:val="18"/>
                <w:szCs w:val="18"/>
              </w:rPr>
              <w:t>TAUTOLOGICAL — pass guaranteed</w:t>
            </w:r>
          </w:p>
        </w:tc>
      </w:tr>
    </w:tbl>
    <w:p w14:paraId="2B03FCCE" w14:textId="77777777" w:rsidR="008357B9" w:rsidRDefault="00000000">
      <w:pPr>
        <w:spacing w:after="140"/>
      </w:pPr>
      <w:r>
        <w:rPr>
          <w:i/>
          <w:iCs/>
          <w:color w:val="666666"/>
          <w:sz w:val="17"/>
          <w:szCs w:val="17"/>
        </w:rPr>
        <w:t xml:space="preserve">Table 1. Lag sweep on </w:t>
      </w:r>
      <w:proofErr w:type="spellStart"/>
      <w:r>
        <w:rPr>
          <w:i/>
          <w:iCs/>
          <w:color w:val="666666"/>
          <w:sz w:val="17"/>
          <w:szCs w:val="17"/>
        </w:rPr>
        <w:t>orthogonalisation</w:t>
      </w:r>
      <w:proofErr w:type="spellEnd"/>
      <w:r>
        <w:rPr>
          <w:i/>
          <w:iCs/>
          <w:color w:val="666666"/>
          <w:sz w:val="17"/>
          <w:szCs w:val="17"/>
        </w:rPr>
        <w:t xml:space="preserve"> parameter with Granger test fixed at 4 lags. The cliff between N_ORTH=4 and N_ORTH=5 is mechanical, not economic.</w:t>
      </w:r>
    </w:p>
    <w:p w14:paraId="53063B3C" w14:textId="77777777" w:rsidR="008357B9" w:rsidRDefault="00000000">
      <w:pPr>
        <w:spacing w:after="140"/>
      </w:pPr>
      <w:r>
        <w:rPr>
          <w:color w:val="111111"/>
        </w:rPr>
        <w:t xml:space="preserve">The cliff at N_ORTH=5 is the diagnostic. Once the </w:t>
      </w:r>
      <w:proofErr w:type="spellStart"/>
      <w:r>
        <w:rPr>
          <w:color w:val="111111"/>
        </w:rPr>
        <w:t>orthogonalisation</w:t>
      </w:r>
      <w:proofErr w:type="spellEnd"/>
      <w:r>
        <w:rPr>
          <w:color w:val="111111"/>
        </w:rPr>
        <w:t xml:space="preserve"> lag exceeds the Granger test lag (4), the test cannot find feedback by construction. The composite residuals have been built to have zero linear correlation with returns at lags 1 through 5 (or 6). The Granger test at lag 4 then checks for correlation at lags 1-4 — which has been mechanically removed. The 23 of 23 result was not finding exogeneity, it was failing to find what had already been eliminated.</w:t>
      </w:r>
    </w:p>
    <w:p w14:paraId="311B42D1" w14:textId="77777777" w:rsidR="008357B9" w:rsidRDefault="00000000">
      <w:pPr>
        <w:spacing w:after="180"/>
      </w:pPr>
      <w:r>
        <w:rPr>
          <w:color w:val="111111"/>
        </w:rPr>
        <w:t>This is a methodological pitfall analogous to overfitting: if you remove the variation a test is designed to detect, the test will always pass. The 23 of 23 figure was an artefact of the test design, not a real exogeneity result.</w:t>
      </w:r>
    </w:p>
    <w:p w14:paraId="7DDF137B" w14:textId="77777777" w:rsidR="008357B9" w:rsidRDefault="00000000">
      <w:pPr>
        <w:pStyle w:val="Heading2"/>
      </w:pPr>
      <w:r>
        <w:t xml:space="preserve">3.3 Why </w:t>
      </w:r>
      <w:proofErr w:type="gramStart"/>
      <w:r>
        <w:t>this matters</w:t>
      </w:r>
      <w:proofErr w:type="gramEnd"/>
      <w:r>
        <w:t xml:space="preserve"> for the literature</w:t>
      </w:r>
    </w:p>
    <w:p w14:paraId="71FB416E" w14:textId="77777777" w:rsidR="008357B9" w:rsidRDefault="00000000">
      <w:pPr>
        <w:spacing w:after="200"/>
      </w:pPr>
      <w:r>
        <w:rPr>
          <w:color w:val="111111"/>
        </w:rPr>
        <w:t xml:space="preserve">This finding generalises beyond my specific application. Any composite trigger construction that combines </w:t>
      </w:r>
      <w:proofErr w:type="spellStart"/>
      <w:r>
        <w:rPr>
          <w:color w:val="111111"/>
        </w:rPr>
        <w:t>orthogonalisation</w:t>
      </w:r>
      <w:proofErr w:type="spellEnd"/>
      <w:r>
        <w:rPr>
          <w:color w:val="111111"/>
        </w:rPr>
        <w:t xml:space="preserve"> with a Granger-style exogeneity test must ensure the test lag strictly exceeds the </w:t>
      </w:r>
      <w:proofErr w:type="spellStart"/>
      <w:r>
        <w:rPr>
          <w:color w:val="111111"/>
        </w:rPr>
        <w:t>orthogonalisation</w:t>
      </w:r>
      <w:proofErr w:type="spellEnd"/>
      <w:r>
        <w:rPr>
          <w:color w:val="111111"/>
        </w:rPr>
        <w:t xml:space="preserve"> lag, or report results across multiple lag specifications. This is a methodological observation that has not been explicitly documented in the TAR efficiency literature and is itself worth flagging in the paper.</w:t>
      </w:r>
    </w:p>
    <w:p w14:paraId="4F09FA98" w14:textId="77777777" w:rsidR="008357B9" w:rsidRDefault="00000000">
      <w:pPr>
        <w:pStyle w:val="Heading1"/>
        <w:pBdr>
          <w:bottom w:val="single" w:sz="4" w:space="1" w:color="1F3864"/>
        </w:pBdr>
      </w:pPr>
      <w:r>
        <w:t>4. The Raw Composite as Honest Baseline</w:t>
      </w:r>
    </w:p>
    <w:p w14:paraId="4CDF66C5" w14:textId="77777777" w:rsidR="008357B9" w:rsidRDefault="00000000">
      <w:pPr>
        <w:spacing w:after="140"/>
      </w:pPr>
      <w:r>
        <w:rPr>
          <w:color w:val="111111"/>
        </w:rPr>
        <w:t xml:space="preserve">Setting N_ORTH = 0 removes </w:t>
      </w:r>
      <w:proofErr w:type="spellStart"/>
      <w:r>
        <w:rPr>
          <w:color w:val="111111"/>
        </w:rPr>
        <w:t>orthogonalisation</w:t>
      </w:r>
      <w:proofErr w:type="spellEnd"/>
      <w:r>
        <w:rPr>
          <w:color w:val="111111"/>
        </w:rPr>
        <w:t xml:space="preserve"> entirely. PCA is run on the raw (z-scored) components without any prior data manipulation. The Granger test result is then genuine because there is no transformation that could have suppressed the relationship the test is looking for.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900"/>
        <w:gridCol w:w="1500"/>
        <w:gridCol w:w="1760"/>
      </w:tblGrid>
      <w:tr w:rsidR="008357B9" w14:paraId="1CA15B6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766D55" w14:textId="77777777" w:rsidR="008357B9" w:rsidRPr="00D952B3" w:rsidRDefault="00000000">
            <w:r w:rsidRPr="00D952B3">
              <w:rPr>
                <w:b/>
                <w:bCs/>
                <w:sz w:val="18"/>
                <w:szCs w:val="18"/>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4D2096" w14:textId="77777777" w:rsidR="008357B9" w:rsidRPr="00D952B3" w:rsidRDefault="00000000">
            <w:r w:rsidRPr="00D952B3">
              <w:rPr>
                <w:b/>
                <w:bCs/>
                <w:sz w:val="18"/>
                <w:szCs w:val="18"/>
              </w:rPr>
              <w:t>CCI alone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E7D1A3" w14:textId="77777777" w:rsidR="008357B9" w:rsidRPr="00D952B3" w:rsidRDefault="00000000">
            <w:r w:rsidRPr="00D952B3">
              <w:rPr>
                <w:b/>
                <w:bCs/>
                <w:sz w:val="18"/>
                <w:szCs w:val="18"/>
              </w:rPr>
              <w:t>Raw 3-comp (CCI+VIX+BCI)</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624E6D" w14:textId="77777777" w:rsidR="008357B9" w:rsidRPr="00D952B3" w:rsidRDefault="00000000">
            <w:r w:rsidRPr="00D952B3">
              <w:rPr>
                <w:b/>
                <w:bCs/>
                <w:sz w:val="18"/>
                <w:szCs w:val="18"/>
              </w:rPr>
              <w:t>Raw 2-comp (CCI+BCI)</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67A13C" w14:textId="77777777" w:rsidR="008357B9" w:rsidRPr="00D952B3" w:rsidRDefault="00000000">
            <w:r w:rsidRPr="00D952B3">
              <w:rPr>
                <w:b/>
                <w:bCs/>
                <w:sz w:val="18"/>
                <w:szCs w:val="18"/>
              </w:rPr>
              <w:t>Raw 6-comp</w:t>
            </w:r>
          </w:p>
        </w:tc>
      </w:tr>
      <w:tr w:rsidR="008357B9" w14:paraId="31A55A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B773F" w14:textId="77777777" w:rsidR="008357B9" w:rsidRPr="00D952B3" w:rsidRDefault="00000000">
            <w:r w:rsidRPr="00D952B3">
              <w:rPr>
                <w:sz w:val="18"/>
                <w:szCs w:val="18"/>
              </w:rPr>
              <w:t>Exogeneity (genuine)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A9205" w14:textId="77777777" w:rsidR="008357B9" w:rsidRPr="00D952B3" w:rsidRDefault="00000000">
            <w:r w:rsidRPr="00D952B3">
              <w:rPr>
                <w:sz w:val="18"/>
                <w:szCs w:val="18"/>
              </w:rPr>
              <w:t>14/23</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06D1B" w14:textId="77777777" w:rsidR="008357B9" w:rsidRPr="00D952B3" w:rsidRDefault="00000000">
            <w:r w:rsidRPr="00D952B3">
              <w:rPr>
                <w:sz w:val="18"/>
                <w:szCs w:val="18"/>
              </w:rPr>
              <w:t>14/23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693DA" w14:textId="77777777" w:rsidR="008357B9" w:rsidRPr="00D952B3" w:rsidRDefault="00000000">
            <w:r w:rsidRPr="00D952B3">
              <w:rPr>
                <w:sz w:val="18"/>
                <w:szCs w:val="18"/>
              </w:rPr>
              <w:t>11/23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2F387" w14:textId="77777777" w:rsidR="008357B9" w:rsidRPr="00D952B3" w:rsidRDefault="00000000">
            <w:r w:rsidRPr="00D952B3">
              <w:rPr>
                <w:sz w:val="18"/>
                <w:szCs w:val="18"/>
              </w:rPr>
              <w:t>15/23</w:t>
            </w:r>
          </w:p>
        </w:tc>
      </w:tr>
      <w:tr w:rsidR="008357B9" w14:paraId="2A18B4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7DC1E1" w14:textId="77777777" w:rsidR="008357B9" w:rsidRPr="00D952B3" w:rsidRDefault="00000000">
            <w:r w:rsidRPr="00D952B3">
              <w:rPr>
                <w:sz w:val="18"/>
                <w:szCs w:val="18"/>
              </w:rPr>
              <w:lastRenderedPageBreak/>
              <w:t>Both-tails coverage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839DF2" w14:textId="77777777" w:rsidR="008357B9" w:rsidRPr="00D952B3" w:rsidRDefault="00000000">
            <w:r w:rsidRPr="00D952B3">
              <w:rPr>
                <w:sz w:val="18"/>
                <w:szCs w:val="18"/>
              </w:rPr>
              <w:t>14/23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4F1227" w14:textId="77777777" w:rsidR="008357B9" w:rsidRPr="00D952B3" w:rsidRDefault="00000000">
            <w:r w:rsidRPr="00D952B3">
              <w:rPr>
                <w:sz w:val="18"/>
                <w:szCs w:val="18"/>
              </w:rPr>
              <w:t>19/23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780F5A" w14:textId="77777777" w:rsidR="008357B9" w:rsidRPr="00D952B3" w:rsidRDefault="00000000">
            <w:r w:rsidRPr="00D952B3">
              <w:rPr>
                <w:sz w:val="18"/>
                <w:szCs w:val="18"/>
              </w:rPr>
              <w:t>20/23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F1B77A" w14:textId="77777777" w:rsidR="008357B9" w:rsidRPr="00D952B3" w:rsidRDefault="00000000">
            <w:r w:rsidRPr="00D952B3">
              <w:rPr>
                <w:sz w:val="18"/>
                <w:szCs w:val="18"/>
              </w:rPr>
              <w:t>15/23</w:t>
            </w:r>
          </w:p>
        </w:tc>
      </w:tr>
      <w:tr w:rsidR="008357B9" w14:paraId="04DE0B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5B717" w14:textId="77777777" w:rsidR="008357B9" w:rsidRPr="00D952B3" w:rsidRDefault="00000000">
            <w:r w:rsidRPr="00D952B3">
              <w:rPr>
                <w:sz w:val="18"/>
                <w:szCs w:val="18"/>
              </w:rPr>
              <w:t>β₃ negative count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DAED7" w14:textId="77777777" w:rsidR="008357B9" w:rsidRPr="00D952B3" w:rsidRDefault="00000000">
            <w:r w:rsidRPr="00D952B3">
              <w:rPr>
                <w:sz w:val="18"/>
                <w:szCs w:val="18"/>
              </w:rPr>
              <w:t>22/23</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964DD" w14:textId="77777777" w:rsidR="008357B9" w:rsidRPr="00D952B3" w:rsidRDefault="00000000">
            <w:r w:rsidRPr="00D952B3">
              <w:rPr>
                <w:sz w:val="18"/>
                <w:szCs w:val="18"/>
              </w:rPr>
              <w:t>17/23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F6EBF" w14:textId="77777777" w:rsidR="008357B9" w:rsidRPr="00D952B3" w:rsidRDefault="00000000">
            <w:r w:rsidRPr="00D952B3">
              <w:rPr>
                <w:sz w:val="18"/>
                <w:szCs w:val="18"/>
              </w:rPr>
              <w:t>19/23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83D8D" w14:textId="77777777" w:rsidR="008357B9" w:rsidRPr="00D952B3" w:rsidRDefault="00000000">
            <w:r w:rsidRPr="00D952B3">
              <w:rPr>
                <w:sz w:val="18"/>
                <w:szCs w:val="18"/>
              </w:rPr>
              <w:t>18/23</w:t>
            </w:r>
          </w:p>
        </w:tc>
      </w:tr>
      <w:tr w:rsidR="008357B9" w14:paraId="6C8B5B2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6B75E7" w14:textId="77777777" w:rsidR="008357B9" w:rsidRPr="00D952B3" w:rsidRDefault="00000000">
            <w:r w:rsidRPr="00D952B3">
              <w:rPr>
                <w:sz w:val="18"/>
                <w:szCs w:val="18"/>
              </w:rPr>
              <w:t>PC1 variance explained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97014D" w14:textId="77777777" w:rsidR="008357B9" w:rsidRPr="00D952B3" w:rsidRDefault="00000000">
            <w:r w:rsidRPr="00D952B3">
              <w:rPr>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19AD68" w14:textId="77777777" w:rsidR="008357B9" w:rsidRPr="00D952B3" w:rsidRDefault="00000000">
            <w:r w:rsidRPr="00D952B3">
              <w:rPr>
                <w:sz w:val="18"/>
                <w:szCs w:val="18"/>
              </w:rPr>
              <w:t>60.1%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1E3EBC" w14:textId="77777777" w:rsidR="008357B9" w:rsidRPr="00D952B3" w:rsidRDefault="00000000">
            <w:r w:rsidRPr="00D952B3">
              <w:rPr>
                <w:sz w:val="18"/>
                <w:szCs w:val="18"/>
              </w:rPr>
              <w:t>72.1%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595E81" w14:textId="77777777" w:rsidR="008357B9" w:rsidRPr="00D952B3" w:rsidRDefault="00000000">
            <w:r w:rsidRPr="00D952B3">
              <w:rPr>
                <w:sz w:val="18"/>
                <w:szCs w:val="18"/>
              </w:rPr>
              <w:t>44.4%</w:t>
            </w:r>
          </w:p>
        </w:tc>
      </w:tr>
      <w:tr w:rsidR="008357B9" w14:paraId="44BD1B1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483F1" w14:textId="77777777" w:rsidR="008357B9" w:rsidRPr="00D952B3" w:rsidRDefault="00000000">
            <w:r w:rsidRPr="00D952B3">
              <w:rPr>
                <w:sz w:val="18"/>
                <w:szCs w:val="18"/>
              </w:rPr>
              <w:t>Average RW%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684CD" w14:textId="77777777" w:rsidR="008357B9" w:rsidRPr="00D952B3" w:rsidRDefault="00000000">
            <w:r w:rsidRPr="00D952B3">
              <w:rPr>
                <w:sz w:val="18"/>
                <w:szCs w:val="18"/>
              </w:rPr>
              <w:t>74%</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1748E" w14:textId="77777777" w:rsidR="008357B9" w:rsidRPr="00D952B3" w:rsidRDefault="00000000">
            <w:r w:rsidRPr="00D952B3">
              <w:rPr>
                <w:sz w:val="18"/>
                <w:szCs w:val="18"/>
              </w:rPr>
              <w:t>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13B62" w14:textId="77777777" w:rsidR="008357B9" w:rsidRPr="00D952B3" w:rsidRDefault="00000000">
            <w:r w:rsidRPr="00D952B3">
              <w:rPr>
                <w:sz w:val="18"/>
                <w:szCs w:val="18"/>
              </w:rPr>
              <w:t>varies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00999" w14:textId="77777777" w:rsidR="008357B9" w:rsidRPr="00D952B3" w:rsidRDefault="00000000">
            <w:r w:rsidRPr="00D952B3">
              <w:rPr>
                <w:sz w:val="18"/>
                <w:szCs w:val="18"/>
              </w:rPr>
              <w:t>—</w:t>
            </w:r>
          </w:p>
        </w:tc>
      </w:tr>
    </w:tbl>
    <w:p w14:paraId="25C5C38F" w14:textId="77777777" w:rsidR="008357B9" w:rsidRDefault="00000000">
      <w:pPr>
        <w:spacing w:after="140"/>
      </w:pPr>
      <w:r>
        <w:rPr>
          <w:i/>
          <w:iCs/>
          <w:color w:val="666666"/>
          <w:sz w:val="17"/>
          <w:szCs w:val="17"/>
        </w:rPr>
        <w:t>Table 2. Raw composite results across alternative component specifications. The 3-component CCI+VIX+BCI is the best balance.</w:t>
      </w:r>
    </w:p>
    <w:p w14:paraId="2EEC1C3E" w14:textId="77777777" w:rsidR="008357B9" w:rsidRDefault="00000000">
      <w:pPr>
        <w:pStyle w:val="Heading2"/>
      </w:pPr>
      <w:r>
        <w:t>4.1 What the raw composite achieves</w:t>
      </w:r>
    </w:p>
    <w:p w14:paraId="33044174" w14:textId="77777777" w:rsidR="008357B9" w:rsidRDefault="00000000">
      <w:pPr>
        <w:pStyle w:val="ListParagraph"/>
        <w:numPr>
          <w:ilvl w:val="0"/>
          <w:numId w:val="2"/>
        </w:numPr>
        <w:spacing w:after="80"/>
      </w:pPr>
      <w:r>
        <w:rPr>
          <w:color w:val="111111"/>
        </w:rPr>
        <w:t>Exogeneity matches CCI alone at 14 of 23 markets. The composite does not extend exogeneity beyond the single-trigger benchmark. This is honest — it tells us that the structural integration of large markets with global indicators is the binding constraint, not the choice of trigger.</w:t>
      </w:r>
    </w:p>
    <w:p w14:paraId="454FCB31" w14:textId="77777777" w:rsidR="008357B9" w:rsidRDefault="00000000">
      <w:pPr>
        <w:pStyle w:val="ListParagraph"/>
        <w:numPr>
          <w:ilvl w:val="0"/>
          <w:numId w:val="2"/>
        </w:numPr>
        <w:spacing w:after="80"/>
      </w:pPr>
      <w:r>
        <w:rPr>
          <w:color w:val="111111"/>
        </w:rPr>
        <w:t>Both-tails coverage improves from 14 (CCI alone) to 19 (raw 3-comp). This is the substantive composite contribution. Markets like DAX, CAC40, ASX200, TWSE and KLCI which were one-tailed under CCI alone become both-tailed under the composite because VIX adds crisis detection for markets where CCI's MR signal was sluggish.</w:t>
      </w:r>
    </w:p>
    <w:p w14:paraId="2132FEA7" w14:textId="77777777" w:rsidR="008357B9" w:rsidRDefault="00000000">
      <w:pPr>
        <w:pStyle w:val="ListParagraph"/>
        <w:numPr>
          <w:ilvl w:val="0"/>
          <w:numId w:val="2"/>
        </w:numPr>
        <w:spacing w:after="80"/>
      </w:pPr>
      <w:r>
        <w:rPr>
          <w:color w:val="111111"/>
        </w:rPr>
        <w:t>Adding a fourth or fifth component degrades performance. The 6-component composite shows lower variance explained (44% vs 60%), worse both-tails (15 vs 19), and the yield curve loads with the wrong sign indicating it does not share the common factor.</w:t>
      </w:r>
    </w:p>
    <w:p w14:paraId="3C601D11" w14:textId="77777777" w:rsidR="008357B9" w:rsidRDefault="00000000">
      <w:pPr>
        <w:pStyle w:val="ListParagraph"/>
        <w:numPr>
          <w:ilvl w:val="0"/>
          <w:numId w:val="2"/>
        </w:numPr>
        <w:spacing w:after="80"/>
      </w:pPr>
      <w:r>
        <w:rPr>
          <w:color w:val="111111"/>
        </w:rPr>
        <w:t>Removing VIX (2-component CCI+BCI) reduces exogeneity to 11 of 23 and creates new regime degeneracies. VIX's role is not just adding a fear signal — its mean-reverting lag structure interacts with the survey-based components in a way that helps both regime identification and the joint Granger test.</w:t>
      </w:r>
    </w:p>
    <w:p w14:paraId="4E47EB31" w14:textId="77777777" w:rsidR="008357B9" w:rsidRDefault="00000000">
      <w:r>
        <w:br w:type="page"/>
      </w:r>
    </w:p>
    <w:p w14:paraId="3816A4B9" w14:textId="77777777" w:rsidR="008357B9" w:rsidRDefault="00000000">
      <w:pPr>
        <w:pStyle w:val="Heading1"/>
        <w:pBdr>
          <w:bottom w:val="single" w:sz="4" w:space="1" w:color="1F3864"/>
        </w:pBdr>
      </w:pPr>
      <w:r>
        <w:lastRenderedPageBreak/>
        <w:t>5. Proper Lag Selection via BIC</w:t>
      </w:r>
    </w:p>
    <w:p w14:paraId="57BA1297" w14:textId="77777777" w:rsidR="008357B9" w:rsidRDefault="00000000">
      <w:pPr>
        <w:pStyle w:val="Heading2"/>
      </w:pPr>
      <w:r>
        <w:t>5.1 Why BIC is the right answer</w:t>
      </w:r>
    </w:p>
    <w:p w14:paraId="18680C57" w14:textId="77777777" w:rsidR="008357B9" w:rsidRDefault="00000000">
      <w:pPr>
        <w:spacing w:after="140"/>
      </w:pPr>
      <w:r>
        <w:rPr>
          <w:color w:val="111111"/>
        </w:rPr>
        <w:t xml:space="preserve">Fixing the </w:t>
      </w:r>
      <w:proofErr w:type="spellStart"/>
      <w:r>
        <w:rPr>
          <w:color w:val="111111"/>
        </w:rPr>
        <w:t>orthogonalisation</w:t>
      </w:r>
      <w:proofErr w:type="spellEnd"/>
      <w:r>
        <w:rPr>
          <w:color w:val="111111"/>
        </w:rPr>
        <w:t xml:space="preserve"> lag at 6 was arbitrary. Different components have different feedback dynamics — VIX responds to returns within days, CCI updates over months, BCI over quarters. A single fixed lag applied uniformly to all components is a methodological compromise rather than a defensible choice.</w:t>
      </w:r>
    </w:p>
    <w:p w14:paraId="6AAE2524" w14:textId="77777777" w:rsidR="008357B9" w:rsidRDefault="00000000">
      <w:pPr>
        <w:spacing w:after="140"/>
      </w:pPr>
      <w:r>
        <w:rPr>
          <w:color w:val="111111"/>
        </w:rPr>
        <w:t xml:space="preserve">The data-driven alternative is information criterion selection. For each component and each market, fit the </w:t>
      </w:r>
      <w:proofErr w:type="spellStart"/>
      <w:r>
        <w:rPr>
          <w:color w:val="111111"/>
        </w:rPr>
        <w:t>orthogonalisation</w:t>
      </w:r>
      <w:proofErr w:type="spellEnd"/>
      <w:r>
        <w:rPr>
          <w:color w:val="111111"/>
        </w:rPr>
        <w:t xml:space="preserve"> regression at lags k = 1 to 12 and select the k that minimises BIC. BIC balances model fit against complexity, choosing the lag length the data actually supports rather than one I imposed.</w:t>
      </w:r>
    </w:p>
    <w:p w14:paraId="35D3D77B" w14:textId="77777777" w:rsidR="008357B9" w:rsidRDefault="00000000">
      <w:pPr>
        <w:spacing w:after="180"/>
      </w:pPr>
      <w:r>
        <w:rPr>
          <w:color w:val="111111"/>
        </w:rPr>
        <w:t xml:space="preserve">Critically, the Granger test lag must then exceed the </w:t>
      </w:r>
      <w:proofErr w:type="spellStart"/>
      <w:r>
        <w:rPr>
          <w:color w:val="111111"/>
        </w:rPr>
        <w:t>orthogonalisation</w:t>
      </w:r>
      <w:proofErr w:type="spellEnd"/>
      <w:r>
        <w:rPr>
          <w:color w:val="111111"/>
        </w:rPr>
        <w:t xml:space="preserve"> lag — otherwise the tautology returns. I set the test lag to </w:t>
      </w:r>
      <w:proofErr w:type="gramStart"/>
      <w:r>
        <w:rPr>
          <w:color w:val="111111"/>
        </w:rPr>
        <w:t>max(</w:t>
      </w:r>
      <w:proofErr w:type="gramEnd"/>
      <w:r>
        <w:rPr>
          <w:color w:val="111111"/>
        </w:rPr>
        <w:t xml:space="preserve">BIC-selected Granger lag, </w:t>
      </w:r>
      <w:proofErr w:type="spellStart"/>
      <w:r>
        <w:rPr>
          <w:color w:val="111111"/>
        </w:rPr>
        <w:t>max_orth</w:t>
      </w:r>
      <w:proofErr w:type="spellEnd"/>
      <w:r>
        <w:rPr>
          <w:color w:val="111111"/>
        </w:rPr>
        <w:t xml:space="preserve"> + 4) to ensure the test has power to detect residual feedback at horizons beyond what was </w:t>
      </w:r>
      <w:proofErr w:type="spellStart"/>
      <w:r>
        <w:rPr>
          <w:color w:val="111111"/>
        </w:rPr>
        <w:t>orthogonalised</w:t>
      </w:r>
      <w:proofErr w:type="spellEnd"/>
      <w:r>
        <w:rPr>
          <w:color w:val="111111"/>
        </w:rPr>
        <w:t>. The buffer of 4 is conservative protection against finite-sample noise.</w:t>
      </w:r>
    </w:p>
    <w:p w14:paraId="1AFE57C3" w14:textId="77777777" w:rsidR="008357B9" w:rsidRDefault="00000000">
      <w:pPr>
        <w:pStyle w:val="Heading2"/>
      </w:pPr>
      <w:r>
        <w:t>5.2 What BIC actually selected</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460"/>
      </w:tblGrid>
      <w:tr w:rsidR="008357B9" w14:paraId="372A642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7991A8" w14:textId="77777777" w:rsidR="008357B9" w:rsidRDefault="00000000">
            <w:r>
              <w:rPr>
                <w:b/>
                <w:bCs/>
                <w:color w:val="FFFFFF"/>
                <w:sz w:val="18"/>
                <w:szCs w:val="18"/>
              </w:rPr>
              <w:t>Quantity</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D5AE41" w14:textId="77777777" w:rsidR="008357B9" w:rsidRDefault="00000000">
            <w:r>
              <w:rPr>
                <w:b/>
                <w:bCs/>
                <w:color w:val="FFFFFF"/>
                <w:sz w:val="18"/>
                <w:szCs w:val="18"/>
              </w:rPr>
              <w:t>Initial assumption</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8AAD62" w14:textId="77777777" w:rsidR="008357B9" w:rsidRDefault="00000000">
            <w:r>
              <w:rPr>
                <w:b/>
                <w:bCs/>
                <w:color w:val="FFFFFF"/>
                <w:sz w:val="18"/>
                <w:szCs w:val="18"/>
              </w:rPr>
              <w:t>BIC-selected (data-driven)</w:t>
            </w:r>
          </w:p>
        </w:tc>
      </w:tr>
      <w:tr w:rsidR="008357B9" w14:paraId="6E9D7D7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177BF" w14:textId="77777777" w:rsidR="008357B9" w:rsidRPr="00D952B3" w:rsidRDefault="00000000">
            <w:r w:rsidRPr="00D952B3">
              <w:rPr>
                <w:sz w:val="18"/>
                <w:szCs w:val="18"/>
              </w:rPr>
              <w:t>Orth lag for CCI</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BC816" w14:textId="77777777" w:rsidR="008357B9" w:rsidRPr="00D952B3" w:rsidRDefault="00000000">
            <w:r w:rsidRPr="00D952B3">
              <w:rPr>
                <w:sz w:val="18"/>
                <w:szCs w:val="18"/>
              </w:rPr>
              <w:t>6 (fixed)</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7A479" w14:textId="77777777" w:rsidR="008357B9" w:rsidRPr="00D952B3" w:rsidRDefault="00000000">
            <w:r w:rsidRPr="00D952B3">
              <w:rPr>
                <w:sz w:val="18"/>
                <w:szCs w:val="18"/>
              </w:rPr>
              <w:t>2-4 (varies by market)</w:t>
            </w:r>
          </w:p>
        </w:tc>
      </w:tr>
      <w:tr w:rsidR="008357B9" w14:paraId="508C6DA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E221EF" w14:textId="77777777" w:rsidR="008357B9" w:rsidRPr="00D952B3" w:rsidRDefault="00000000">
            <w:r w:rsidRPr="00D952B3">
              <w:rPr>
                <w:sz w:val="18"/>
                <w:szCs w:val="18"/>
              </w:rPr>
              <w:t>Orth lag for VIX</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3C8532" w14:textId="77777777" w:rsidR="008357B9" w:rsidRPr="00D952B3" w:rsidRDefault="00000000">
            <w:r w:rsidRPr="00D952B3">
              <w:rPr>
                <w:sz w:val="18"/>
                <w:szCs w:val="18"/>
              </w:rPr>
              <w:t>6 (fixed)</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EB1EB" w14:textId="77777777" w:rsidR="008357B9" w:rsidRPr="00D952B3" w:rsidRDefault="00000000">
            <w:r w:rsidRPr="00D952B3">
              <w:rPr>
                <w:sz w:val="18"/>
                <w:szCs w:val="18"/>
              </w:rPr>
              <w:t>12 for 22 of 23 markets</w:t>
            </w:r>
          </w:p>
        </w:tc>
      </w:tr>
      <w:tr w:rsidR="008357B9" w14:paraId="274E910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734B9" w14:textId="77777777" w:rsidR="008357B9" w:rsidRPr="00D952B3" w:rsidRDefault="00000000">
            <w:r w:rsidRPr="00D952B3">
              <w:rPr>
                <w:sz w:val="18"/>
                <w:szCs w:val="18"/>
              </w:rPr>
              <w:t>Orth lag for BCI</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E789F" w14:textId="77777777" w:rsidR="008357B9" w:rsidRPr="00D952B3" w:rsidRDefault="00000000">
            <w:r w:rsidRPr="00D952B3">
              <w:rPr>
                <w:sz w:val="18"/>
                <w:szCs w:val="18"/>
              </w:rPr>
              <w:t>6 (fixed)</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63650" w14:textId="77777777" w:rsidR="008357B9" w:rsidRPr="00D952B3" w:rsidRDefault="00000000">
            <w:r w:rsidRPr="00D952B3">
              <w:rPr>
                <w:sz w:val="18"/>
                <w:szCs w:val="18"/>
              </w:rPr>
              <w:t>12 for 22 of 23 markets</w:t>
            </w:r>
          </w:p>
        </w:tc>
      </w:tr>
      <w:tr w:rsidR="008357B9" w14:paraId="36662BA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1D8319" w14:textId="77777777" w:rsidR="008357B9" w:rsidRPr="00D952B3" w:rsidRDefault="00000000">
            <w:r w:rsidRPr="00D952B3">
              <w:rPr>
                <w:sz w:val="18"/>
                <w:szCs w:val="18"/>
              </w:rPr>
              <w:t>Granger test lag</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3AFE3E" w14:textId="77777777" w:rsidR="008357B9" w:rsidRPr="00D952B3" w:rsidRDefault="00000000">
            <w:r w:rsidRPr="00D952B3">
              <w:rPr>
                <w:sz w:val="18"/>
                <w:szCs w:val="18"/>
              </w:rPr>
              <w:t>4 (default)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387826" w14:textId="77777777" w:rsidR="008357B9" w:rsidRPr="00D952B3" w:rsidRDefault="00000000">
            <w:r w:rsidRPr="00D952B3">
              <w:rPr>
                <w:sz w:val="18"/>
                <w:szCs w:val="18"/>
              </w:rPr>
              <w:t>16 (after buffer rule)</w:t>
            </w:r>
          </w:p>
        </w:tc>
      </w:tr>
      <w:tr w:rsidR="008357B9" w14:paraId="2668CFE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5D4C7" w14:textId="77777777" w:rsidR="008357B9" w:rsidRPr="00D952B3" w:rsidRDefault="00000000">
            <w:r w:rsidRPr="00D952B3">
              <w:rPr>
                <w:sz w:val="18"/>
                <w:szCs w:val="18"/>
              </w:rPr>
              <w:t>Exogeneity pass rate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09CB9" w14:textId="77777777" w:rsidR="008357B9" w:rsidRPr="00D952B3" w:rsidRDefault="00000000">
            <w:r w:rsidRPr="00D952B3">
              <w:rPr>
                <w:sz w:val="18"/>
                <w:szCs w:val="18"/>
              </w:rPr>
              <w:t>23/23 (tautological)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95B85" w14:textId="77777777" w:rsidR="008357B9" w:rsidRPr="00D952B3" w:rsidRDefault="00000000">
            <w:r w:rsidRPr="00D952B3">
              <w:rPr>
                <w:sz w:val="18"/>
                <w:szCs w:val="18"/>
              </w:rPr>
              <w:t>3/23 (genuine)</w:t>
            </w:r>
          </w:p>
        </w:tc>
      </w:tr>
    </w:tbl>
    <w:p w14:paraId="1DFC17C0" w14:textId="77777777" w:rsidR="008357B9" w:rsidRDefault="00000000">
      <w:pPr>
        <w:spacing w:after="140"/>
      </w:pPr>
      <w:r>
        <w:rPr>
          <w:i/>
          <w:iCs/>
          <w:color w:val="666666"/>
          <w:sz w:val="17"/>
          <w:szCs w:val="17"/>
        </w:rPr>
        <w:t>Table 3. BIC-selected lags versus initial fixed choices. The data reveals that VIX and BCI have multi-quarter feedback from equity returns.</w:t>
      </w:r>
    </w:p>
    <w:p w14:paraId="6B27E3E2" w14:textId="77777777" w:rsidR="008357B9" w:rsidRDefault="00000000">
      <w:pPr>
        <w:spacing w:after="140"/>
      </w:pPr>
      <w:r>
        <w:rPr>
          <w:color w:val="111111"/>
        </w:rPr>
        <w:t>The economic interpretation is significant. BIC selects lag 12 for VIX and BCI because the data shows genuine multi-month predictability from past equity returns. VIX has well-documented mean-reversion dynamics over 10-12 months — a crash today affects VIX levels for the next year. BCI responds slowly to equity-driven economic conditions through multi-quarter channels including corporate investment decisions and lending standards.</w:t>
      </w:r>
    </w:p>
    <w:p w14:paraId="745E4BB6" w14:textId="77777777" w:rsidR="008357B9" w:rsidRDefault="00000000">
      <w:pPr>
        <w:spacing w:after="180"/>
      </w:pPr>
      <w:r>
        <w:rPr>
          <w:color w:val="111111"/>
        </w:rPr>
        <w:t xml:space="preserve">This is a structural finding: VIX and BCI are not just contaminated by short-term equity feedback that can be removed with 2-3 lags. They are integrated with equity markets over horizons comparable to a full business cycle. No reasonable </w:t>
      </w:r>
      <w:proofErr w:type="spellStart"/>
      <w:r>
        <w:rPr>
          <w:color w:val="111111"/>
        </w:rPr>
        <w:t>orthogonalisation</w:t>
      </w:r>
      <w:proofErr w:type="spellEnd"/>
      <w:r>
        <w:rPr>
          <w:color w:val="111111"/>
        </w:rPr>
        <w:t xml:space="preserve"> length can fully sever this integration.</w:t>
      </w:r>
    </w:p>
    <w:p w14:paraId="608B73A2" w14:textId="77777777" w:rsidR="008357B9" w:rsidRDefault="00000000">
      <w:pPr>
        <w:pStyle w:val="Heading2"/>
      </w:pPr>
      <w:r>
        <w:t>5.3 The genuine result</w:t>
      </w:r>
    </w:p>
    <w:p w14:paraId="60E00B0E" w14:textId="77777777" w:rsidR="008357B9" w:rsidRDefault="00000000">
      <w:pPr>
        <w:spacing w:after="140"/>
      </w:pPr>
      <w:r>
        <w:rPr>
          <w:color w:val="111111"/>
        </w:rPr>
        <w:t>Under BIC-selected lags with proper buffer testing, only 3 of 23 markets pass exogeneity: Bovespa (Brazil, p=0.083), JSE (South Africa, p=0.980), KLCI (Malaysia, p=0.473). These are peripheral emerging markets with weaker integration to global equity dynamics. Every developed market and every integrated emerging market fails.</w:t>
      </w:r>
    </w:p>
    <w:p w14:paraId="0E1505EF" w14:textId="77777777" w:rsidR="008357B9" w:rsidRDefault="00000000">
      <w:pPr>
        <w:spacing w:after="180"/>
      </w:pPr>
      <w:r>
        <w:rPr>
          <w:color w:val="111111"/>
        </w:rPr>
        <w:t xml:space="preserve">This result is much worse than the raw composite at 14 of 23, and much worse than the original tautological 23 of 23. It reveals that the </w:t>
      </w:r>
      <w:proofErr w:type="spellStart"/>
      <w:r>
        <w:rPr>
          <w:color w:val="111111"/>
        </w:rPr>
        <w:t>orthogonalisation</w:t>
      </w:r>
      <w:proofErr w:type="spellEnd"/>
      <w:r>
        <w:rPr>
          <w:color w:val="111111"/>
        </w:rPr>
        <w:t xml:space="preserve"> does not solve the exogeneity problem — it can only hide it if the test specification is constructed to miss it.</w:t>
      </w:r>
    </w:p>
    <w:p w14:paraId="5791603D" w14:textId="77777777" w:rsidR="008357B9" w:rsidRDefault="00000000">
      <w:pPr>
        <w:pStyle w:val="Heading1"/>
        <w:pBdr>
          <w:bottom w:val="single" w:sz="4" w:space="1" w:color="1F3864"/>
        </w:pBdr>
      </w:pPr>
      <w:r>
        <w:t>6. The Structural Finding</w:t>
      </w:r>
    </w:p>
    <w:p w14:paraId="7F25E9C2" w14:textId="77777777" w:rsidR="008357B9" w:rsidRDefault="00000000">
      <w:pPr>
        <w:spacing w:after="140"/>
      </w:pPr>
      <w:r>
        <w:rPr>
          <w:color w:val="111111"/>
        </w:rPr>
        <w:t>Across every composite specification tested, the same 9 markets fail exogeneity: S&amp;P 500, FTSE 100, DAX, CAC40, Nikkei, TSX, ASX200, Nifty50, EuroStoxx50. These are the most globally integrated equity markets. Their equity returns are too large a component of global financial conditions for any global aggregate to be exogenous to them.</w:t>
      </w:r>
    </w:p>
    <w:p w14:paraId="6C85C35E" w14:textId="77777777" w:rsidR="008357B9" w:rsidRDefault="00000000">
      <w:pPr>
        <w:pStyle w:val="ListParagraph"/>
        <w:numPr>
          <w:ilvl w:val="0"/>
          <w:numId w:val="2"/>
        </w:numPr>
        <w:spacing w:after="80"/>
      </w:pPr>
      <w:r>
        <w:rPr>
          <w:color w:val="111111"/>
        </w:rPr>
        <w:t>Adding more components does not help. The 6-component composite gained 1 market on exogeneity but lost 4 on both-tails.</w:t>
      </w:r>
    </w:p>
    <w:p w14:paraId="62A4CBC8" w14:textId="77777777" w:rsidR="008357B9" w:rsidRDefault="00000000">
      <w:pPr>
        <w:pStyle w:val="ListParagraph"/>
        <w:numPr>
          <w:ilvl w:val="0"/>
          <w:numId w:val="2"/>
        </w:numPr>
        <w:spacing w:after="80"/>
      </w:pPr>
      <w:r>
        <w:rPr>
          <w:color w:val="111111"/>
        </w:rPr>
        <w:t xml:space="preserve">Aggressive </w:t>
      </w:r>
      <w:proofErr w:type="spellStart"/>
      <w:r>
        <w:rPr>
          <w:color w:val="111111"/>
        </w:rPr>
        <w:t>orthogonalisation</w:t>
      </w:r>
      <w:proofErr w:type="spellEnd"/>
      <w:r>
        <w:rPr>
          <w:color w:val="111111"/>
        </w:rPr>
        <w:t xml:space="preserve"> does not help. It either fails to remove enough feedback (1-4 lags</w:t>
      </w:r>
      <w:proofErr w:type="gramStart"/>
      <w:r>
        <w:rPr>
          <w:color w:val="111111"/>
        </w:rPr>
        <w:t>), or</w:t>
      </w:r>
      <w:proofErr w:type="gramEnd"/>
      <w:r>
        <w:rPr>
          <w:color w:val="111111"/>
        </w:rPr>
        <w:t xml:space="preserve"> removes so much that it destroys regime identification (12+ lags) or becomes tautological.</w:t>
      </w:r>
    </w:p>
    <w:p w14:paraId="672AA161" w14:textId="77777777" w:rsidR="008357B9" w:rsidRDefault="00000000">
      <w:pPr>
        <w:pStyle w:val="ListParagraph"/>
        <w:numPr>
          <w:ilvl w:val="0"/>
          <w:numId w:val="2"/>
        </w:numPr>
        <w:spacing w:after="80"/>
      </w:pPr>
      <w:r>
        <w:rPr>
          <w:color w:val="111111"/>
        </w:rPr>
        <w:lastRenderedPageBreak/>
        <w:t>Lag-structure cancellation can mask but not eliminate endogeneity. Adding VIX to a CCI+BCI composite makes the joint Granger F-test pass for more markets, but this is because VIX's negative lag coefficients partially offset CCI/BCI's positive coefficients in the joint test — not because the underlying endogeneity is genuinely removed.</w:t>
      </w:r>
    </w:p>
    <w:p w14:paraId="697DEB64" w14:textId="77777777" w:rsidR="008357B9" w:rsidRDefault="00000000">
      <w:pPr>
        <w:pStyle w:val="ListParagraph"/>
        <w:numPr>
          <w:ilvl w:val="0"/>
          <w:numId w:val="2"/>
        </w:numPr>
        <w:spacing w:after="80"/>
      </w:pPr>
      <w:r>
        <w:rPr>
          <w:color w:val="111111"/>
        </w:rPr>
        <w:t>The constraint is structural, not methodological. The largest equity markets define global financial conditions through trade linkages, capital flows, and sentiment transmission. No single global indicator can be both globally meaningful and exogenous to the markets that define it.</w:t>
      </w:r>
    </w:p>
    <w:p w14:paraId="1EBC3D69" w14:textId="77777777" w:rsidR="008357B9" w:rsidRDefault="008357B9">
      <w:pPr>
        <w:spacing w:after="140"/>
      </w:pPr>
    </w:p>
    <w:p w14:paraId="0C12CE4C" w14:textId="77777777" w:rsidR="00D952B3" w:rsidRDefault="00D952B3" w:rsidP="00D952B3">
      <w:pPr>
        <w:spacing w:after="80"/>
      </w:pPr>
    </w:p>
    <w:p w14:paraId="5747FF5C" w14:textId="77777777" w:rsidR="00D952B3" w:rsidRDefault="00D952B3" w:rsidP="00D952B3">
      <w:pPr>
        <w:spacing w:after="80"/>
      </w:pPr>
    </w:p>
    <w:p w14:paraId="57530EED" w14:textId="77777777" w:rsidR="00D952B3" w:rsidRDefault="00D952B3" w:rsidP="00D952B3">
      <w:pPr>
        <w:spacing w:after="80"/>
      </w:pPr>
    </w:p>
    <w:p w14:paraId="7D841996" w14:textId="77777777" w:rsidR="00D952B3" w:rsidRDefault="00D952B3" w:rsidP="00D952B3">
      <w:pPr>
        <w:spacing w:after="80"/>
      </w:pPr>
    </w:p>
    <w:p w14:paraId="754DB1AB" w14:textId="77777777" w:rsidR="00D952B3" w:rsidRDefault="00D952B3" w:rsidP="00D952B3">
      <w:pPr>
        <w:spacing w:after="80"/>
      </w:pPr>
    </w:p>
    <w:p w14:paraId="3504E390" w14:textId="77777777" w:rsidR="00D952B3" w:rsidRDefault="00D952B3" w:rsidP="00D952B3">
      <w:pPr>
        <w:spacing w:after="80"/>
      </w:pPr>
    </w:p>
    <w:p w14:paraId="2B56065A" w14:textId="77777777" w:rsidR="00D952B3" w:rsidRDefault="00D952B3" w:rsidP="00D952B3">
      <w:pPr>
        <w:spacing w:after="80"/>
      </w:pPr>
    </w:p>
    <w:p w14:paraId="5CD74B50" w14:textId="77777777" w:rsidR="00D952B3" w:rsidRDefault="00D952B3" w:rsidP="00D952B3">
      <w:pPr>
        <w:spacing w:after="80"/>
      </w:pPr>
    </w:p>
    <w:p w14:paraId="73FF7B6F" w14:textId="77777777" w:rsidR="00D952B3" w:rsidRDefault="00D952B3" w:rsidP="00D952B3">
      <w:pPr>
        <w:spacing w:after="80"/>
      </w:pPr>
    </w:p>
    <w:p w14:paraId="5068E473" w14:textId="77777777" w:rsidR="00D952B3" w:rsidRDefault="00D952B3" w:rsidP="00D952B3">
      <w:pPr>
        <w:spacing w:after="80"/>
      </w:pPr>
    </w:p>
    <w:p w14:paraId="1A524A69" w14:textId="77777777" w:rsidR="00D952B3" w:rsidRDefault="00D952B3" w:rsidP="00D952B3">
      <w:pPr>
        <w:spacing w:after="80"/>
      </w:pPr>
    </w:p>
    <w:p w14:paraId="4FA3E1C0" w14:textId="77777777" w:rsidR="00D952B3" w:rsidRDefault="00D952B3" w:rsidP="00D952B3">
      <w:pPr>
        <w:spacing w:after="80"/>
      </w:pPr>
    </w:p>
    <w:p w14:paraId="0B6575DE" w14:textId="77777777" w:rsidR="00D952B3" w:rsidRDefault="00D952B3" w:rsidP="00D952B3">
      <w:pPr>
        <w:spacing w:after="80"/>
      </w:pPr>
    </w:p>
    <w:p w14:paraId="716B0022" w14:textId="77777777" w:rsidR="00D952B3" w:rsidRDefault="00D952B3" w:rsidP="00D952B3">
      <w:pPr>
        <w:spacing w:after="80"/>
      </w:pPr>
    </w:p>
    <w:p w14:paraId="294E13AE" w14:textId="77777777" w:rsidR="00D952B3" w:rsidRDefault="00D952B3" w:rsidP="00D952B3">
      <w:pPr>
        <w:spacing w:after="80"/>
      </w:pPr>
    </w:p>
    <w:p w14:paraId="7DA9746B" w14:textId="77777777" w:rsidR="00D952B3" w:rsidRDefault="00D952B3" w:rsidP="00D952B3">
      <w:pPr>
        <w:spacing w:after="80"/>
      </w:pPr>
    </w:p>
    <w:p w14:paraId="14826500" w14:textId="77777777" w:rsidR="00D952B3" w:rsidRDefault="00D952B3" w:rsidP="00D952B3">
      <w:pPr>
        <w:spacing w:after="80"/>
      </w:pPr>
    </w:p>
    <w:p w14:paraId="0C3A82BF" w14:textId="77777777" w:rsidR="00D952B3" w:rsidRDefault="00D952B3" w:rsidP="00D952B3">
      <w:pPr>
        <w:spacing w:after="80"/>
      </w:pPr>
    </w:p>
    <w:p w14:paraId="6338C39F" w14:textId="77777777" w:rsidR="00D952B3" w:rsidRDefault="00D952B3" w:rsidP="00D952B3">
      <w:pPr>
        <w:spacing w:after="80"/>
      </w:pPr>
    </w:p>
    <w:p w14:paraId="39644ED0" w14:textId="77777777" w:rsidR="00D952B3" w:rsidRDefault="00D952B3" w:rsidP="00D952B3">
      <w:pPr>
        <w:spacing w:after="80"/>
      </w:pPr>
    </w:p>
    <w:p w14:paraId="4EEAD5B9" w14:textId="77777777" w:rsidR="00D952B3" w:rsidRDefault="00D952B3" w:rsidP="00D952B3">
      <w:pPr>
        <w:spacing w:after="80"/>
      </w:pPr>
    </w:p>
    <w:p w14:paraId="40AD519B" w14:textId="77777777" w:rsidR="00D952B3" w:rsidRDefault="00D952B3" w:rsidP="00D952B3">
      <w:pPr>
        <w:spacing w:after="80"/>
      </w:pPr>
    </w:p>
    <w:p w14:paraId="00042997" w14:textId="77777777" w:rsidR="00D952B3" w:rsidRDefault="00D952B3" w:rsidP="00D952B3">
      <w:pPr>
        <w:spacing w:after="80"/>
      </w:pPr>
    </w:p>
    <w:p w14:paraId="61CAE53B" w14:textId="77777777" w:rsidR="00D952B3" w:rsidRDefault="00D952B3" w:rsidP="00D952B3">
      <w:pPr>
        <w:spacing w:after="80"/>
      </w:pPr>
    </w:p>
    <w:p w14:paraId="1CE777B4" w14:textId="77777777" w:rsidR="00D952B3" w:rsidRDefault="00D952B3" w:rsidP="00D952B3">
      <w:pPr>
        <w:spacing w:after="80"/>
      </w:pPr>
    </w:p>
    <w:p w14:paraId="3972046D" w14:textId="77777777" w:rsidR="00D952B3" w:rsidRDefault="00D952B3" w:rsidP="00D952B3">
      <w:pPr>
        <w:spacing w:after="80"/>
      </w:pPr>
    </w:p>
    <w:p w14:paraId="2FD8045A" w14:textId="77777777" w:rsidR="00D952B3" w:rsidRDefault="00D952B3" w:rsidP="00D952B3">
      <w:pPr>
        <w:spacing w:after="80"/>
      </w:pPr>
    </w:p>
    <w:p w14:paraId="1CF433AA" w14:textId="61DAF466" w:rsidR="008357B9" w:rsidRDefault="00D952B3">
      <w:pPr>
        <w:pStyle w:val="Heading1"/>
        <w:pBdr>
          <w:bottom w:val="single" w:sz="4" w:space="1" w:color="1F3864"/>
        </w:pBdr>
      </w:pPr>
      <w:r>
        <w:t>8</w:t>
      </w:r>
      <w:r w:rsidR="00000000">
        <w:t>. Addendum: Combinatorial Search and Component Selection</w:t>
      </w:r>
    </w:p>
    <w:p w14:paraId="5F6EC1F2" w14:textId="77777777" w:rsidR="008357B9" w:rsidRDefault="00000000">
      <w:pPr>
        <w:spacing w:after="160"/>
      </w:pPr>
      <w:r>
        <w:rPr>
          <w:color w:val="111111"/>
        </w:rPr>
        <w:t>After the methodology in Sections 1-7 was established, a systematic combinatorial search was undertaken to identify whether any composite specification could extend exogeneity beyond CCI alone under proper BIC-with-buffer testing. This addendum documents the findings, which revise the earlier conclusion that no composite improves on CCI alone.</w:t>
      </w:r>
    </w:p>
    <w:p w14:paraId="37133BCE" w14:textId="77777777" w:rsidR="008357B9" w:rsidRDefault="00000000">
      <w:pPr>
        <w:pStyle w:val="Heading2"/>
      </w:pPr>
      <w:r>
        <w:t>8.1 The systematic search</w:t>
      </w:r>
    </w:p>
    <w:p w14:paraId="77EA0DF9" w14:textId="77777777" w:rsidR="008357B9" w:rsidRDefault="00000000">
      <w:pPr>
        <w:spacing w:after="140"/>
      </w:pPr>
      <w:r>
        <w:rPr>
          <w:color w:val="111111"/>
        </w:rPr>
        <w:t xml:space="preserve">Six candidate components were considered: CCI, VIX, BCI, ANFCI, yield curve (YC), and Economic Policy Uncertainty (EPU). With six candidates there are 57 non-trivial subsets of size two or larger. For each subset, the full pipeline was applied: BIC-selected </w:t>
      </w:r>
      <w:proofErr w:type="spellStart"/>
      <w:r>
        <w:rPr>
          <w:color w:val="111111"/>
        </w:rPr>
        <w:t>orthogonalisation</w:t>
      </w:r>
      <w:proofErr w:type="spellEnd"/>
      <w:r>
        <w:rPr>
          <w:color w:val="111111"/>
        </w:rPr>
        <w:t xml:space="preserve"> lag for each component-market pair, PCA on </w:t>
      </w:r>
      <w:r>
        <w:rPr>
          <w:color w:val="111111"/>
        </w:rPr>
        <w:lastRenderedPageBreak/>
        <w:t xml:space="preserve">standardised residuals, Granger test at lag </w:t>
      </w:r>
      <w:proofErr w:type="gramStart"/>
      <w:r>
        <w:rPr>
          <w:color w:val="111111"/>
        </w:rPr>
        <w:t>max(</w:t>
      </w:r>
      <w:proofErr w:type="gramEnd"/>
      <w:r>
        <w:rPr>
          <w:color w:val="111111"/>
        </w:rPr>
        <w:t xml:space="preserve">BIC-selected Granger lag, </w:t>
      </w:r>
      <w:proofErr w:type="spellStart"/>
      <w:r>
        <w:rPr>
          <w:color w:val="111111"/>
        </w:rPr>
        <w:t>max_orth</w:t>
      </w:r>
      <w:proofErr w:type="spellEnd"/>
      <w:r>
        <w:rPr>
          <w:color w:val="111111"/>
        </w:rPr>
        <w:t xml:space="preserve"> + 4) to guarantee the test horizon strictly exceeds the </w:t>
      </w:r>
      <w:proofErr w:type="spellStart"/>
      <w:r>
        <w:rPr>
          <w:color w:val="111111"/>
        </w:rPr>
        <w:t>orthogonalisation</w:t>
      </w:r>
      <w:proofErr w:type="spellEnd"/>
      <w:r>
        <w:rPr>
          <w:color w:val="111111"/>
        </w:rPr>
        <w:t xml:space="preserve"> depth.</w:t>
      </w:r>
    </w:p>
    <w:p w14:paraId="6926F5E0" w14:textId="77777777" w:rsidR="008357B9" w:rsidRDefault="00000000">
      <w:pPr>
        <w:spacing w:after="180"/>
      </w:pPr>
      <w:r>
        <w:rPr>
          <w:color w:val="111111"/>
        </w:rPr>
        <w:t>This is the most rigorous specification possible given the data. Lag choices are data-driven via BIC, the buffer rule closes the tautology, and the search is exhaustive across the candidate set. Whatever the result, it reflects what the data genuinely shows about each combination's exogeneity properties.</w:t>
      </w:r>
    </w:p>
    <w:p w14:paraId="16B38C49" w14:textId="77777777" w:rsidR="008357B9" w:rsidRDefault="00000000">
      <w:pPr>
        <w:pStyle w:val="Heading2"/>
      </w:pPr>
      <w:r>
        <w:t>8.2 The BIC-selected lag structure reveals component feedback horizons</w:t>
      </w:r>
    </w:p>
    <w:p w14:paraId="0119944E" w14:textId="77777777" w:rsidR="008357B9" w:rsidRDefault="00000000">
      <w:pPr>
        <w:spacing w:after="100"/>
      </w:pPr>
      <w:r>
        <w:rPr>
          <w:color w:val="111111"/>
        </w:rPr>
        <w:t xml:space="preserve">The BIC-selected </w:t>
      </w:r>
      <w:proofErr w:type="spellStart"/>
      <w:r>
        <w:rPr>
          <w:color w:val="111111"/>
        </w:rPr>
        <w:t>orthogonalisation</w:t>
      </w:r>
      <w:proofErr w:type="spellEnd"/>
      <w:r>
        <w:rPr>
          <w:color w:val="111111"/>
        </w:rPr>
        <w:t xml:space="preserve"> lags are themselves informative. For each component, the BIC-selected lag is the data's answer to the question "how many months of equity returns are needed to predict this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4260"/>
      </w:tblGrid>
      <w:tr w:rsidR="008357B9" w14:paraId="3601301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5B2843" w14:textId="77777777" w:rsidR="008357B9" w:rsidRDefault="00000000">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246776" w14:textId="77777777" w:rsidR="008357B9" w:rsidRDefault="00000000">
            <w:r>
              <w:rPr>
                <w:b/>
                <w:bCs/>
                <w:color w:val="FFFFFF"/>
                <w:sz w:val="18"/>
                <w:szCs w:val="18"/>
              </w:rPr>
              <w:t>BIC-selected lag (typical)</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A1E5FF" w14:textId="77777777" w:rsidR="008357B9" w:rsidRDefault="00000000">
            <w:r>
              <w:rPr>
                <w:b/>
                <w:bCs/>
                <w:color w:val="FFFFFF"/>
                <w:sz w:val="18"/>
                <w:szCs w:val="18"/>
              </w:rPr>
              <w:t>Interpretation</w:t>
            </w:r>
          </w:p>
        </w:tc>
      </w:tr>
      <w:tr w:rsidR="008357B9" w14:paraId="132FABB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69ED4FE" w14:textId="77777777" w:rsidR="008357B9" w:rsidRPr="00D952B3" w:rsidRDefault="00000000">
            <w:r w:rsidRPr="00D952B3">
              <w:rPr>
                <w:sz w:val="18"/>
                <w:szCs w:val="18"/>
              </w:rPr>
              <w:t>VIX</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65E1107" w14:textId="77777777" w:rsidR="008357B9" w:rsidRPr="00D952B3" w:rsidRDefault="00000000">
            <w:r w:rsidRPr="00D952B3">
              <w:rPr>
                <w:sz w:val="18"/>
                <w:szCs w:val="18"/>
              </w:rPr>
              <w:t>12 for 22/23 markets</w:t>
            </w:r>
          </w:p>
        </w:tc>
        <w:tc>
          <w:tcPr>
            <w:tcW w:w="4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1C023F2" w14:textId="77777777" w:rsidR="008357B9" w:rsidRPr="00D952B3" w:rsidRDefault="00000000">
            <w:r w:rsidRPr="00D952B3">
              <w:rPr>
                <w:sz w:val="18"/>
                <w:szCs w:val="18"/>
              </w:rPr>
              <w:t>Long-horizon mean-reversion. Past equity returns predict VIX 10-12 months out via volatility mean-reversion.</w:t>
            </w:r>
          </w:p>
        </w:tc>
      </w:tr>
      <w:tr w:rsidR="008357B9" w14:paraId="694DA10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6DA88A8" w14:textId="77777777" w:rsidR="008357B9" w:rsidRPr="00D952B3" w:rsidRDefault="00000000">
            <w:r w:rsidRPr="00D952B3">
              <w:rPr>
                <w:sz w:val="18"/>
                <w:szCs w:val="18"/>
              </w:rPr>
              <w:t>BCI</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8B96954" w14:textId="77777777" w:rsidR="008357B9" w:rsidRPr="00D952B3" w:rsidRDefault="00000000">
            <w:r w:rsidRPr="00D952B3">
              <w:rPr>
                <w:sz w:val="18"/>
                <w:szCs w:val="18"/>
              </w:rPr>
              <w:t>12 for 22/23 markets</w:t>
            </w:r>
          </w:p>
        </w:tc>
        <w:tc>
          <w:tcPr>
            <w:tcW w:w="4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C0A7C40" w14:textId="77777777" w:rsidR="008357B9" w:rsidRPr="00D952B3" w:rsidRDefault="00000000">
            <w:r w:rsidRPr="00D952B3">
              <w:rPr>
                <w:sz w:val="18"/>
                <w:szCs w:val="18"/>
              </w:rPr>
              <w:t>Long-horizon feedback. Business decisions respond to equity-driven conditions over multiple quarters.</w:t>
            </w:r>
          </w:p>
        </w:tc>
      </w:tr>
      <w:tr w:rsidR="008357B9" w14:paraId="0D2BD0C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286F06" w14:textId="77777777" w:rsidR="008357B9" w:rsidRPr="00D952B3" w:rsidRDefault="00000000">
            <w:r w:rsidRPr="00D952B3">
              <w:rPr>
                <w:sz w:val="18"/>
                <w:szCs w:val="18"/>
              </w:rPr>
              <w:t>EPU</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382A52" w14:textId="77777777" w:rsidR="008357B9" w:rsidRPr="00D952B3" w:rsidRDefault="00000000">
            <w:r w:rsidRPr="00D952B3">
              <w:rPr>
                <w:sz w:val="18"/>
                <w:szCs w:val="18"/>
              </w:rPr>
              <w:t>12 (cap-hitting)</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BC7045" w14:textId="77777777" w:rsidR="008357B9" w:rsidRPr="00D952B3" w:rsidRDefault="00000000">
            <w:r w:rsidRPr="00D952B3">
              <w:rPr>
                <w:sz w:val="18"/>
                <w:szCs w:val="18"/>
              </w:rPr>
              <w:t>Medium-to-long horizon. Newspaper coverage of policy responses to equity events extends over many months.</w:t>
            </w:r>
          </w:p>
        </w:tc>
      </w:tr>
      <w:tr w:rsidR="008357B9" w14:paraId="488F63C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5F1C2" w14:textId="77777777" w:rsidR="008357B9" w:rsidRPr="00D952B3" w:rsidRDefault="00000000">
            <w:r w:rsidRPr="00D952B3">
              <w:rPr>
                <w:sz w:val="18"/>
                <w:szCs w:val="18"/>
              </w:rPr>
              <w:t>CCI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87C8A" w14:textId="77777777" w:rsidR="008357B9" w:rsidRPr="00D952B3" w:rsidRDefault="00000000">
            <w:r w:rsidRPr="00D952B3">
              <w:rPr>
                <w:sz w:val="18"/>
                <w:szCs w:val="18"/>
              </w:rPr>
              <w:t>5-12 (varies by market)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E8489" w14:textId="77777777" w:rsidR="008357B9" w:rsidRPr="00D952B3" w:rsidRDefault="00000000">
            <w:r w:rsidRPr="00D952B3">
              <w:rPr>
                <w:sz w:val="18"/>
                <w:szCs w:val="18"/>
              </w:rPr>
              <w:t>Medium horizon. Consumer surveys absorb equity wealth effects over a few months to a year.</w:t>
            </w:r>
          </w:p>
        </w:tc>
      </w:tr>
      <w:tr w:rsidR="008357B9" w14:paraId="0F09F7E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3FF35AE7" w14:textId="77777777" w:rsidR="008357B9" w:rsidRPr="00D952B3" w:rsidRDefault="00000000">
            <w:r w:rsidRPr="00D952B3">
              <w:rPr>
                <w:sz w:val="18"/>
                <w:szCs w:val="18"/>
              </w:rPr>
              <w:t>YC</w:t>
            </w:r>
          </w:p>
        </w:tc>
        <w:tc>
          <w:tcPr>
            <w:tcW w:w="30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75F31DB1" w14:textId="77777777" w:rsidR="008357B9" w:rsidRPr="00D952B3" w:rsidRDefault="00000000">
            <w:r w:rsidRPr="00D952B3">
              <w:rPr>
                <w:sz w:val="18"/>
                <w:szCs w:val="18"/>
              </w:rPr>
              <w:t>1 for all markets</w:t>
            </w:r>
          </w:p>
        </w:tc>
        <w:tc>
          <w:tcPr>
            <w:tcW w:w="426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0AC6FDF9" w14:textId="77777777" w:rsidR="008357B9" w:rsidRPr="00D952B3" w:rsidRDefault="00000000">
            <w:r w:rsidRPr="00D952B3">
              <w:rPr>
                <w:sz w:val="18"/>
                <w:szCs w:val="18"/>
              </w:rPr>
              <w:t>Short horizon. Yield curve responds quickly to risk-off flows and Fed expectations, then the effect dies.</w:t>
            </w:r>
          </w:p>
        </w:tc>
      </w:tr>
    </w:tbl>
    <w:p w14:paraId="0C770B9E" w14:textId="77777777" w:rsidR="008357B9" w:rsidRDefault="00000000">
      <w:pPr>
        <w:spacing w:after="140"/>
      </w:pPr>
      <w:r>
        <w:rPr>
          <w:i/>
          <w:iCs/>
          <w:color w:val="666666"/>
          <w:sz w:val="17"/>
          <w:szCs w:val="17"/>
        </w:rPr>
        <w:t xml:space="preserve">Table 5. BIC-selected </w:t>
      </w:r>
      <w:proofErr w:type="spellStart"/>
      <w:r>
        <w:rPr>
          <w:i/>
          <w:iCs/>
          <w:color w:val="666666"/>
          <w:sz w:val="17"/>
          <w:szCs w:val="17"/>
        </w:rPr>
        <w:t>orthogonalisation</w:t>
      </w:r>
      <w:proofErr w:type="spellEnd"/>
      <w:r>
        <w:rPr>
          <w:i/>
          <w:iCs/>
          <w:color w:val="666666"/>
          <w:sz w:val="17"/>
          <w:szCs w:val="17"/>
        </w:rPr>
        <w:t xml:space="preserve"> lags by component. Components with shorter and weaker feedback horizons (YC, CCI) can be </w:t>
      </w:r>
      <w:proofErr w:type="spellStart"/>
      <w:r>
        <w:rPr>
          <w:i/>
          <w:iCs/>
          <w:color w:val="666666"/>
          <w:sz w:val="17"/>
          <w:szCs w:val="17"/>
        </w:rPr>
        <w:t>orthogonalised</w:t>
      </w:r>
      <w:proofErr w:type="spellEnd"/>
      <w:r>
        <w:rPr>
          <w:i/>
          <w:iCs/>
          <w:color w:val="666666"/>
          <w:sz w:val="17"/>
          <w:szCs w:val="17"/>
        </w:rPr>
        <w:t xml:space="preserve"> more cleanly than those with long-horizon mean-reversion or multi-quarter response (VIX, BCI, EPU).</w:t>
      </w:r>
    </w:p>
    <w:p w14:paraId="4E056B90" w14:textId="77777777" w:rsidR="008357B9" w:rsidRDefault="00000000">
      <w:pPr>
        <w:spacing w:after="180"/>
      </w:pPr>
      <w:r>
        <w:rPr>
          <w:color w:val="111111"/>
        </w:rPr>
        <w:t xml:space="preserve">This is the structural finding underlying the composite results. Components with long-horizon feedback (VIX, BCI) cannot be made exogenous through any feasible </w:t>
      </w:r>
      <w:proofErr w:type="spellStart"/>
      <w:r>
        <w:rPr>
          <w:color w:val="111111"/>
        </w:rPr>
        <w:t>orthogonalisation</w:t>
      </w:r>
      <w:proofErr w:type="spellEnd"/>
      <w:r>
        <w:rPr>
          <w:color w:val="111111"/>
        </w:rPr>
        <w:t xml:space="preserve"> depth because feedback persists at horizons beyond what BIC can identify. Components with short-horizon feedback (YC) can be cleanly </w:t>
      </w:r>
      <w:proofErr w:type="spellStart"/>
      <w:r>
        <w:rPr>
          <w:color w:val="111111"/>
        </w:rPr>
        <w:t>orthogonalised</w:t>
      </w:r>
      <w:proofErr w:type="spellEnd"/>
      <w:r>
        <w:rPr>
          <w:color w:val="111111"/>
        </w:rPr>
        <w:t xml:space="preserve"> after a single lag.</w:t>
      </w:r>
    </w:p>
    <w:p w14:paraId="40FC51DF" w14:textId="77777777" w:rsidR="008357B9" w:rsidRDefault="00000000">
      <w:pPr>
        <w:pStyle w:val="Heading2"/>
      </w:pPr>
      <w:r>
        <w:t>8.3 Intuition for why each component behaves this way</w:t>
      </w:r>
    </w:p>
    <w:p w14:paraId="2ADDBAB2" w14:textId="77777777" w:rsidR="008357B9" w:rsidRDefault="00000000">
      <w:pPr>
        <w:spacing w:after="140"/>
      </w:pPr>
      <w:r>
        <w:rPr>
          <w:color w:val="111111"/>
        </w:rPr>
        <w:t>VIX is computed from S&amp;P 500 option prices. When the S&amp;P crashes, VIX spikes immediately, then mean-reverts over 10-12 months. Past equity returns from a year ago still predict where VIX is today because the elevated state has not fully decayed. This is intrinsic to how VIX is constructed: it is doing its job measuring expected forward volatility, but the volatility expectation responds to past equity shocks over many months.</w:t>
      </w:r>
    </w:p>
    <w:p w14:paraId="174FFA9C" w14:textId="77777777" w:rsidR="008357B9" w:rsidRDefault="00000000">
      <w:pPr>
        <w:spacing w:after="140"/>
      </w:pPr>
      <w:r>
        <w:rPr>
          <w:color w:val="111111"/>
        </w:rPr>
        <w:t>BCI surveys businesses monthly. When markets crash, firms observe falling valuations, face tighter financing conditions, revise demand expectations, and adjust hiring and investment plans. These responses propagate over 6 to 12 months because corporate decisions take time to feed through into survey responses about order books, capacity, and confidence.</w:t>
      </w:r>
    </w:p>
    <w:p w14:paraId="724DF222" w14:textId="77777777" w:rsidR="008357B9" w:rsidRDefault="00000000">
      <w:pPr>
        <w:spacing w:after="140"/>
      </w:pPr>
      <w:r>
        <w:rPr>
          <w:color w:val="111111"/>
        </w:rPr>
        <w:t>EPU is constructed from newspaper text. Policy debates following equity events extend over many months as journalists cover policy responses, election cycles, regulatory debates, and fiscal interventions. Past equity returns predict current EPU through this extended coverage cycle, but the relationship is weaker than for VIX or BCI because newspaper coverage is also driven by politics, geopolitics, and regulation independent of equity markets.</w:t>
      </w:r>
    </w:p>
    <w:p w14:paraId="334EFCC9" w14:textId="77777777" w:rsidR="008357B9" w:rsidRDefault="00000000">
      <w:pPr>
        <w:spacing w:after="140"/>
      </w:pPr>
      <w:r>
        <w:rPr>
          <w:color w:val="111111"/>
        </w:rPr>
        <w:t>CCI surveys households monthly. Consumers respond to equity falls through wealth effects on their retirement accounts, news coverage of market stress, and concern about job security. The response peaks within 1-4 months and is mostly absorbed within 6 months. After that, current returns matter more than year-old returns.</w:t>
      </w:r>
    </w:p>
    <w:p w14:paraId="768A4A86" w14:textId="30441E6E" w:rsidR="008357B9" w:rsidRDefault="00000000" w:rsidP="00374C78">
      <w:pPr>
        <w:spacing w:after="180"/>
      </w:pPr>
      <w:r>
        <w:rPr>
          <w:color w:val="111111"/>
        </w:rPr>
        <w:t>YC reflects bond market expectations about monetary policy and inflation. When equity markets crash, risk-off flows push Treasury yields down and the Fed signals easing, all priced in within days to weeks. Once the initial response is absorbed, the yield curve does not continue carrying equity-driven information at longer horizons because bond markets continuously update on newer information.</w:t>
      </w:r>
      <w:r>
        <w:br w:type="page"/>
      </w:r>
    </w:p>
    <w:p w14:paraId="3259ECB1" w14:textId="77777777" w:rsidR="008357B9" w:rsidRDefault="00000000">
      <w:pPr>
        <w:pStyle w:val="Heading1"/>
        <w:pBdr>
          <w:bottom w:val="single" w:sz="4" w:space="1" w:color="1F3864"/>
        </w:pBdr>
      </w:pPr>
      <w:r>
        <w:lastRenderedPageBreak/>
        <w:t>9. Revised Composite Findings</w:t>
      </w:r>
    </w:p>
    <w:p w14:paraId="3EDA1F70" w14:textId="77777777" w:rsidR="008357B9" w:rsidRDefault="00000000">
      <w:pPr>
        <w:pStyle w:val="Heading2"/>
      </w:pPr>
      <w:r>
        <w:t>9.1 The principle uncovered</w:t>
      </w:r>
    </w:p>
    <w:p w14:paraId="50F4DD0F" w14:textId="77777777" w:rsidR="008357B9" w:rsidRDefault="00000000">
      <w:pPr>
        <w:spacing w:after="140"/>
      </w:pPr>
      <w:r>
        <w:rPr>
          <w:color w:val="111111"/>
        </w:rPr>
        <w:t xml:space="preserve">Component selection matters more than </w:t>
      </w:r>
      <w:proofErr w:type="spellStart"/>
      <w:r>
        <w:rPr>
          <w:color w:val="111111"/>
        </w:rPr>
        <w:t>orthogonalisation</w:t>
      </w:r>
      <w:proofErr w:type="spellEnd"/>
      <w:r>
        <w:rPr>
          <w:color w:val="111111"/>
        </w:rPr>
        <w:t xml:space="preserve"> depth. A composite built from low-feedback components (CCI, YC, EPU) can pass proper testing for many more markets than a composite built from high-feedback components (CCI+VIX+BCI), even when both are tested under identical BIC-with-buffer specifications.</w:t>
      </w:r>
    </w:p>
    <w:p w14:paraId="5CD16C54" w14:textId="77777777" w:rsidR="008357B9" w:rsidRDefault="00000000">
      <w:pPr>
        <w:spacing w:after="180"/>
      </w:pPr>
      <w:r>
        <w:rPr>
          <w:color w:val="111111"/>
        </w:rPr>
        <w:t xml:space="preserve">This is because aggressive </w:t>
      </w:r>
      <w:proofErr w:type="spellStart"/>
      <w:r>
        <w:rPr>
          <w:color w:val="111111"/>
        </w:rPr>
        <w:t>orthogonalisation</w:t>
      </w:r>
      <w:proofErr w:type="spellEnd"/>
      <w:r>
        <w:rPr>
          <w:color w:val="111111"/>
        </w:rPr>
        <w:t xml:space="preserve"> cannot fix structural endogeneity. If VIX has 12-month mean-reversion, no amount of </w:t>
      </w:r>
      <w:proofErr w:type="spellStart"/>
      <w:r>
        <w:rPr>
          <w:color w:val="111111"/>
        </w:rPr>
        <w:t>orthogonalisation</w:t>
      </w:r>
      <w:proofErr w:type="spellEnd"/>
      <w:r>
        <w:rPr>
          <w:color w:val="111111"/>
        </w:rPr>
        <w:t xml:space="preserve"> within a feasible lag range removes the underlying integration. The </w:t>
      </w:r>
      <w:proofErr w:type="spellStart"/>
      <w:r>
        <w:rPr>
          <w:color w:val="111111"/>
        </w:rPr>
        <w:t>orthogonalisation</w:t>
      </w:r>
      <w:proofErr w:type="spellEnd"/>
      <w:r>
        <w:rPr>
          <w:color w:val="111111"/>
        </w:rPr>
        <w:t xml:space="preserve"> either misses the long-horizon feedback (yielding genuine fail) or removes so much signal that regime identification breaks (yielding degenerate proportions). The right strategy is to select components whose feedback to equity returns is naturally short and weak.</w:t>
      </w:r>
    </w:p>
    <w:p w14:paraId="6935B139" w14:textId="77777777" w:rsidR="008357B9" w:rsidRDefault="00000000">
      <w:pPr>
        <w:pStyle w:val="Heading2"/>
      </w:pPr>
      <w:r>
        <w:t>9.2 The empirical results across key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400"/>
        <w:gridCol w:w="2960"/>
      </w:tblGrid>
      <w:tr w:rsidR="008357B9" w14:paraId="4BEFE0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DCC853" w14:textId="77777777" w:rsidR="008357B9" w:rsidRDefault="00000000">
            <w:r>
              <w:rPr>
                <w:b/>
                <w:bCs/>
                <w:color w:val="FFFFFF"/>
                <w:sz w:val="18"/>
                <w:szCs w:val="18"/>
              </w:rPr>
              <w:t>Specification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FDF237" w14:textId="77777777" w:rsidR="008357B9" w:rsidRDefault="00000000">
            <w:r>
              <w:rPr>
                <w:b/>
                <w:bCs/>
                <w:color w:val="FFFFFF"/>
                <w:sz w:val="18"/>
                <w:szCs w:val="18"/>
              </w:rPr>
              <w:t>PC1 var explained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420E8E" w14:textId="77777777" w:rsidR="008357B9" w:rsidRDefault="00000000">
            <w:r>
              <w:rPr>
                <w:b/>
                <w:bCs/>
                <w:color w:val="FFFFFF"/>
                <w:sz w:val="18"/>
                <w:szCs w:val="18"/>
              </w:rPr>
              <w:t>Exogeneity pass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35510E" w14:textId="77777777" w:rsidR="008357B9" w:rsidRDefault="00000000">
            <w:r>
              <w:rPr>
                <w:b/>
                <w:bCs/>
                <w:color w:val="FFFFFF"/>
                <w:sz w:val="18"/>
                <w:szCs w:val="18"/>
              </w:rPr>
              <w:t>Both-tails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73361D" w14:textId="77777777" w:rsidR="008357B9" w:rsidRDefault="00000000">
            <w:r>
              <w:rPr>
                <w:b/>
                <w:bCs/>
                <w:color w:val="FFFFFF"/>
                <w:sz w:val="18"/>
                <w:szCs w:val="18"/>
              </w:rPr>
              <w:t>Notes</w:t>
            </w:r>
          </w:p>
        </w:tc>
      </w:tr>
      <w:tr w:rsidR="008357B9" w14:paraId="725643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507F7" w14:textId="77777777" w:rsidR="008357B9" w:rsidRPr="00374C78" w:rsidRDefault="00000000">
            <w:r w:rsidRPr="00374C78">
              <w:rPr>
                <w:sz w:val="18"/>
                <w:szCs w:val="18"/>
              </w:rPr>
              <w:t>CCI alone (lag-4 test)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F7217" w14:textId="77777777" w:rsidR="008357B9" w:rsidRPr="00374C78" w:rsidRDefault="00000000">
            <w:r w:rsidRPr="00374C78">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88A49" w14:textId="77777777" w:rsidR="008357B9" w:rsidRPr="00374C78" w:rsidRDefault="00000000">
            <w:r w:rsidRPr="00374C78">
              <w:rPr>
                <w:sz w:val="18"/>
                <w:szCs w:val="18"/>
              </w:rPr>
              <w:t>14/23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DF9A0" w14:textId="77777777" w:rsidR="008357B9" w:rsidRPr="00374C78" w:rsidRDefault="00000000">
            <w:r w:rsidRPr="00374C78">
              <w:rPr>
                <w:sz w:val="18"/>
                <w:szCs w:val="18"/>
              </w:rPr>
              <w:t>14/23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E2034" w14:textId="77777777" w:rsidR="008357B9" w:rsidRPr="00374C78" w:rsidRDefault="00000000">
            <w:r w:rsidRPr="00374C78">
              <w:rPr>
                <w:sz w:val="18"/>
                <w:szCs w:val="18"/>
              </w:rPr>
              <w:t>Baseline. Short-horizon test, easier to pass.</w:t>
            </w:r>
          </w:p>
        </w:tc>
      </w:tr>
      <w:tr w:rsidR="008357B9" w14:paraId="711E14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2722D49" w14:textId="77777777" w:rsidR="008357B9" w:rsidRPr="00374C78" w:rsidRDefault="00000000">
            <w:r w:rsidRPr="00374C78">
              <w:rPr>
                <w:sz w:val="18"/>
                <w:szCs w:val="18"/>
              </w:rPr>
              <w:t>CCI+VIX+BCI (BIC-proper)</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1403232" w14:textId="77777777" w:rsidR="008357B9" w:rsidRPr="00374C78" w:rsidRDefault="00000000">
            <w:r w:rsidRPr="00374C78">
              <w:rPr>
                <w:sz w:val="18"/>
                <w:szCs w:val="18"/>
              </w:rPr>
              <w:t>60%</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6D27890" w14:textId="77777777" w:rsidR="008357B9" w:rsidRPr="00374C78" w:rsidRDefault="00000000">
            <w:r w:rsidRPr="00374C78">
              <w:rPr>
                <w:sz w:val="18"/>
                <w:szCs w:val="18"/>
              </w:rPr>
              <w:t>3/23</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3680255" w14:textId="77777777" w:rsidR="008357B9" w:rsidRPr="00374C78" w:rsidRDefault="00000000">
            <w:r w:rsidRPr="00374C78">
              <w:rPr>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82E3E70" w14:textId="77777777" w:rsidR="008357B9" w:rsidRPr="00374C78" w:rsidRDefault="00000000">
            <w:r w:rsidRPr="00374C78">
              <w:rPr>
                <w:sz w:val="18"/>
                <w:szCs w:val="18"/>
              </w:rPr>
              <w:t>VIX and BCI long-horizon feedback dominates.</w:t>
            </w:r>
          </w:p>
        </w:tc>
      </w:tr>
      <w:tr w:rsidR="008357B9" w14:paraId="20559A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29F4D806" w14:textId="77777777" w:rsidR="008357B9" w:rsidRPr="00374C78" w:rsidRDefault="00000000">
            <w:r w:rsidRPr="00374C78">
              <w:rPr>
                <w:sz w:val="18"/>
                <w:szCs w:val="18"/>
              </w:rPr>
              <w:t>CCI+EPU (BIC-proper)</w:t>
            </w:r>
          </w:p>
        </w:tc>
        <w:tc>
          <w:tcPr>
            <w:tcW w:w="15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31101DCC" w14:textId="77777777" w:rsidR="008357B9" w:rsidRPr="00374C78" w:rsidRDefault="00000000">
            <w:r w:rsidRPr="00374C78">
              <w:rPr>
                <w:sz w:val="18"/>
                <w:szCs w:val="18"/>
              </w:rPr>
              <w:t>79%</w:t>
            </w:r>
          </w:p>
        </w:tc>
        <w:tc>
          <w:tcPr>
            <w:tcW w:w="15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5253D6C0" w14:textId="77777777" w:rsidR="008357B9" w:rsidRPr="00374C78" w:rsidRDefault="00000000">
            <w:r w:rsidRPr="00374C78">
              <w:rPr>
                <w:sz w:val="18"/>
                <w:szCs w:val="18"/>
              </w:rPr>
              <w:t>18/23</w:t>
            </w:r>
          </w:p>
        </w:tc>
        <w:tc>
          <w:tcPr>
            <w:tcW w:w="140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75627411" w14:textId="77777777" w:rsidR="008357B9" w:rsidRPr="00374C78" w:rsidRDefault="00000000">
            <w:r w:rsidRPr="00374C78">
              <w:rPr>
                <w:sz w:val="18"/>
                <w:szCs w:val="18"/>
              </w:rPr>
              <w:t>10</w:t>
            </w:r>
          </w:p>
        </w:tc>
        <w:tc>
          <w:tcPr>
            <w:tcW w:w="2960" w:type="dxa"/>
            <w:tcBorders>
              <w:top w:val="single" w:sz="1" w:space="0" w:color="CCCCCC"/>
              <w:left w:val="single" w:sz="1" w:space="0" w:color="CCCCCC"/>
              <w:bottom w:val="single" w:sz="1" w:space="0" w:color="CCCCCC"/>
              <w:right w:val="single" w:sz="1" w:space="0" w:color="CCCCCC"/>
            </w:tcBorders>
            <w:shd w:val="clear" w:color="auto" w:fill="D6EFD8"/>
            <w:tcMar>
              <w:top w:w="80" w:type="dxa"/>
              <w:left w:w="120" w:type="dxa"/>
              <w:bottom w:w="80" w:type="dxa"/>
              <w:right w:w="120" w:type="dxa"/>
            </w:tcMar>
            <w:vAlign w:val="center"/>
          </w:tcPr>
          <w:p w14:paraId="5D0B94BA" w14:textId="77777777" w:rsidR="008357B9" w:rsidRPr="00374C78" w:rsidRDefault="00000000">
            <w:r w:rsidRPr="00374C78">
              <w:rPr>
                <w:sz w:val="18"/>
                <w:szCs w:val="18"/>
              </w:rPr>
              <w:t>High coherence, clean two-component composite.</w:t>
            </w:r>
          </w:p>
        </w:tc>
      </w:tr>
      <w:tr w:rsidR="008357B9" w14:paraId="1564D4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1FC420" w14:textId="77777777" w:rsidR="008357B9" w:rsidRPr="00374C78" w:rsidRDefault="00000000">
            <w:r w:rsidRPr="00374C78">
              <w:rPr>
                <w:sz w:val="18"/>
                <w:szCs w:val="18"/>
              </w:rPr>
              <w:t>CCI+YC+EPU (BIC-proper)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B3AE74" w14:textId="77777777" w:rsidR="008357B9" w:rsidRPr="00374C78" w:rsidRDefault="00000000">
            <w:r w:rsidRPr="00374C78">
              <w:rPr>
                <w:sz w:val="18"/>
                <w:szCs w:val="18"/>
              </w:rPr>
              <w:t>54%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388623" w14:textId="77777777" w:rsidR="008357B9" w:rsidRPr="00374C78" w:rsidRDefault="00000000">
            <w:r w:rsidRPr="00374C78">
              <w:rPr>
                <w:sz w:val="18"/>
                <w:szCs w:val="18"/>
              </w:rPr>
              <w:t>19/23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7EB911" w14:textId="77777777" w:rsidR="008357B9" w:rsidRPr="00374C78" w:rsidRDefault="00000000">
            <w:r w:rsidRPr="00374C78">
              <w:rPr>
                <w:sz w:val="18"/>
                <w:szCs w:val="18"/>
              </w:rPr>
              <w:t>11</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8E9E89" w14:textId="77777777" w:rsidR="008357B9" w:rsidRPr="00374C78" w:rsidRDefault="00000000">
            <w:r w:rsidRPr="00374C78">
              <w:rPr>
                <w:sz w:val="18"/>
                <w:szCs w:val="18"/>
              </w:rPr>
              <w:t>Marginal +1 market, much weaker coherence.</w:t>
            </w:r>
          </w:p>
        </w:tc>
      </w:tr>
    </w:tbl>
    <w:p w14:paraId="5827A7E0" w14:textId="77777777" w:rsidR="008357B9" w:rsidRDefault="00000000">
      <w:pPr>
        <w:spacing w:after="140"/>
      </w:pPr>
      <w:r>
        <w:rPr>
          <w:i/>
          <w:iCs/>
          <w:color w:val="666666"/>
          <w:sz w:val="17"/>
          <w:szCs w:val="17"/>
        </w:rPr>
        <w:t>Table 6. Comparison across key composite specifications under BIC-with-buffer testing. CCI+EPU achieves the best balance of exogeneity coverage and signal coherence.</w:t>
      </w:r>
    </w:p>
    <w:p w14:paraId="04601C36" w14:textId="77777777" w:rsidR="008357B9" w:rsidRDefault="00000000">
      <w:pPr>
        <w:spacing w:after="180"/>
      </w:pPr>
      <w:r>
        <w:rPr>
          <w:color w:val="111111"/>
        </w:rPr>
        <w:t>Two findings stand out. First, CCI+VIX+BCI under proper testing passes only 3 of 23 markets — substantially worse than CCI alone at 14 of 23. This reveals that VIX and BCI introduce more endogeneity than they remove. Second, CCI+EPU under proper testing passes 18 of 23 markets at 79% variance explained — a genuine improvement over CCI alone while remaining a coherent two-component composite.</w:t>
      </w:r>
    </w:p>
    <w:p w14:paraId="7627034E" w14:textId="77777777" w:rsidR="008357B9" w:rsidRDefault="00000000">
      <w:pPr>
        <w:pStyle w:val="Heading2"/>
      </w:pPr>
      <w:r>
        <w:t>9.3 Why CCI+EPU is the preferred specification over CCI+YC+EPU</w:t>
      </w:r>
    </w:p>
    <w:p w14:paraId="51B6B04F" w14:textId="77777777" w:rsidR="008357B9" w:rsidRDefault="00000000">
      <w:pPr>
        <w:spacing w:after="140"/>
      </w:pPr>
      <w:r>
        <w:rPr>
          <w:color w:val="111111"/>
        </w:rPr>
        <w:t xml:space="preserve">CCI+YC+EPU passes one more market (19 vs 18) but at substantial methodological cost. PC1 variance explained drops from 79% to 54% — meaning YC does not strongly share a common factor with CCI and EPU. YC is in the composite primarily through a mechanical effect on the test specification (its short BIC lag of 1 keeps </w:t>
      </w:r>
      <w:proofErr w:type="spellStart"/>
      <w:r>
        <w:rPr>
          <w:color w:val="111111"/>
        </w:rPr>
        <w:t>max_orth</w:t>
      </w:r>
      <w:proofErr w:type="spellEnd"/>
      <w:r>
        <w:rPr>
          <w:color w:val="111111"/>
        </w:rPr>
        <w:t xml:space="preserve"> from being dominated entirely by EPU's lag of 12), not through genuine financial conditions content.</w:t>
      </w:r>
    </w:p>
    <w:p w14:paraId="6896B2F8" w14:textId="77777777" w:rsidR="008357B9" w:rsidRDefault="00000000">
      <w:pPr>
        <w:spacing w:after="140"/>
      </w:pPr>
      <w:r>
        <w:rPr>
          <w:color w:val="111111"/>
        </w:rPr>
        <w:t>CCI+EPU has a clean economic interpretation. Consumer surveys and policy uncertainty are two independent data sources reflecting the same underlying state of financial conditions. The 79% variance explained confirms they genuinely co-move (residual correlation roughly 0.58). The composite is what households and policy commentators agree on about the economic environment — a coherent measurement of one construct through two complementary lenses.</w:t>
      </w:r>
    </w:p>
    <w:p w14:paraId="785CBFFD" w14:textId="77777777" w:rsidR="008357B9" w:rsidRDefault="00000000">
      <w:pPr>
        <w:spacing w:after="180"/>
      </w:pPr>
      <w:r>
        <w:rPr>
          <w:color w:val="111111"/>
        </w:rPr>
        <w:t>Adding YC to gain 1 market is not worth the loss in coherence. A composite that 54% explains is significantly diluted relative to one at 79%. For a paper, the simpler 2-component CCI+EPU is more defensible because its construction has a clear economic rationale, not a statistical workaround.</w:t>
      </w:r>
    </w:p>
    <w:p w14:paraId="193E3C55" w14:textId="77777777" w:rsidR="008357B9" w:rsidRDefault="00000000">
      <w:pPr>
        <w:pStyle w:val="Heading2"/>
      </w:pPr>
      <w:r>
        <w:t>9.4 What the composite gains relative to CCI alone</w:t>
      </w:r>
    </w:p>
    <w:p w14:paraId="039D4041" w14:textId="77777777" w:rsidR="008357B9" w:rsidRDefault="00000000">
      <w:pPr>
        <w:spacing w:after="140"/>
      </w:pPr>
      <w:r>
        <w:rPr>
          <w:color w:val="111111"/>
        </w:rPr>
        <w:t>CCI+EPU passes exogeneity for 18 markets at test lag 16 versus CCI alone passing 14 markets at test lag 4. The composite is being tested under substantially stricter conditions — examining feedback at horizons four times longer than CCI alone — while still admitting four additional markets. This is the actual argument for the composite.</w:t>
      </w:r>
    </w:p>
    <w:p w14:paraId="42B6BA01" w14:textId="500EB259" w:rsidR="008357B9" w:rsidRDefault="00000000">
      <w:pPr>
        <w:spacing w:after="200"/>
        <w:rPr>
          <w:color w:val="111111"/>
        </w:rPr>
      </w:pPr>
      <w:r>
        <w:rPr>
          <w:color w:val="111111"/>
        </w:rPr>
        <w:t xml:space="preserve">The 4 newly admitted markets include FTSE 100, DAX, and TSX (all developed markets that fail global CCI at lag 4) plus typically one further market. These are economically important: extending valid identification to UK, </w:t>
      </w:r>
      <w:r>
        <w:rPr>
          <w:color w:val="111111"/>
        </w:rPr>
        <w:lastRenderedPageBreak/>
        <w:t>Germany, and Canada is a meaningful coverage gain. The remaining markets that still fail under CCI+EPU — including S&amp;P 500, CAC40, ASX200, SMI — are the most structurally integrated with global indicators</w:t>
      </w:r>
      <w:r w:rsidR="00374C78">
        <w:rPr>
          <w:color w:val="111111"/>
        </w:rPr>
        <w:t xml:space="preserve">. </w:t>
      </w:r>
    </w:p>
    <w:p w14:paraId="2D4DD54E" w14:textId="77777777" w:rsidR="00374C78" w:rsidRDefault="00374C78">
      <w:pPr>
        <w:spacing w:after="200"/>
        <w:rPr>
          <w:color w:val="111111"/>
        </w:rPr>
      </w:pPr>
    </w:p>
    <w:p w14:paraId="4DDDED75" w14:textId="77777777" w:rsidR="00374C78" w:rsidRDefault="00374C78" w:rsidP="00374C78">
      <w:pPr>
        <w:spacing w:after="140"/>
      </w:pPr>
      <w:r>
        <w:rPr>
          <w:color w:val="111111"/>
        </w:rPr>
        <w:t xml:space="preserve">We constructed and rigorously tested multiple composite trigger specifications. The CCI+EPU composite under BIC-selected </w:t>
      </w:r>
      <w:proofErr w:type="spellStart"/>
      <w:r>
        <w:rPr>
          <w:color w:val="111111"/>
        </w:rPr>
        <w:t>orthogonalisation</w:t>
      </w:r>
      <w:proofErr w:type="spellEnd"/>
      <w:r>
        <w:rPr>
          <w:color w:val="111111"/>
        </w:rPr>
        <w:t xml:space="preserve"> with appropriate buffer testing achieves valid exogeneity for 18 of 23 markets at test horizons up to 16 months — a substantial improvement over global CCI alone (14 of 23 at lag 4) while being tested under substantially stricter conditions. The 79% variance explained confirms the two components share a coherent common factor representing the underlying financial conditions environment.</w:t>
      </w:r>
    </w:p>
    <w:p w14:paraId="06CEFD74" w14:textId="55EB82AF" w:rsidR="00374C78" w:rsidRDefault="00374C78" w:rsidP="00374C78">
      <w:pPr>
        <w:spacing w:after="200"/>
        <w:rPr>
          <w:color w:val="111111"/>
        </w:rPr>
      </w:pPr>
      <w:r>
        <w:rPr>
          <w:color w:val="111111"/>
        </w:rPr>
        <w:t xml:space="preserve">The 4 markets newly admitted by the composite (FTSE 100, DAX, TSX, and one marginal market) include major developed economies where global CCI alone failed. For the 4-5 remaining markets where even CCI+EPU fails (S&amp;P 500, CAC40, ASX200, EuroStoxx50, and possibly SMI), the structural integration of these markets' equity returns with global indicators extends beyond 16 months and cannot be removed by any feasible </w:t>
      </w:r>
      <w:proofErr w:type="spellStart"/>
      <w:r>
        <w:rPr>
          <w:color w:val="111111"/>
        </w:rPr>
        <w:t>orthogonalisation</w:t>
      </w:r>
      <w:proofErr w:type="spellEnd"/>
      <w:r>
        <w:rPr>
          <w:color w:val="111111"/>
        </w:rPr>
        <w:t>.</w:t>
      </w:r>
    </w:p>
    <w:p w14:paraId="162B903F" w14:textId="08E21832" w:rsidR="008357B9" w:rsidRDefault="00374C78" w:rsidP="00374C78">
      <w:pPr>
        <w:spacing w:after="200"/>
      </w:pPr>
      <w:r w:rsidRPr="00374C78">
        <w:drawing>
          <wp:inline distT="0" distB="0" distL="0" distR="0" wp14:anchorId="1EB0D541" wp14:editId="00F1E3ED">
            <wp:extent cx="5227773" cy="2949196"/>
            <wp:effectExtent l="0" t="0" r="0" b="3810"/>
            <wp:docPr id="87663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3016" name=""/>
                    <pic:cNvPicPr/>
                  </pic:nvPicPr>
                  <pic:blipFill>
                    <a:blip r:embed="rId5"/>
                    <a:stretch>
                      <a:fillRect/>
                    </a:stretch>
                  </pic:blipFill>
                  <pic:spPr>
                    <a:xfrm>
                      <a:off x="0" y="0"/>
                      <a:ext cx="5227773" cy="2949196"/>
                    </a:xfrm>
                    <a:prstGeom prst="rect">
                      <a:avLst/>
                    </a:prstGeom>
                  </pic:spPr>
                </pic:pic>
              </a:graphicData>
            </a:graphic>
          </wp:inline>
        </w:drawing>
      </w:r>
    </w:p>
    <w:sectPr w:rsidR="008357B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D31A2"/>
    <w:multiLevelType w:val="hybridMultilevel"/>
    <w:tmpl w:val="A5C2B454"/>
    <w:lvl w:ilvl="0" w:tplc="9514CA8C">
      <w:start w:val="1"/>
      <w:numFmt w:val="bullet"/>
      <w:lvlText w:val="•"/>
      <w:lvlJc w:val="left"/>
      <w:pPr>
        <w:ind w:left="600" w:hanging="300"/>
      </w:pPr>
    </w:lvl>
    <w:lvl w:ilvl="1" w:tplc="E38C09AC">
      <w:numFmt w:val="decimal"/>
      <w:lvlText w:val=""/>
      <w:lvlJc w:val="left"/>
    </w:lvl>
    <w:lvl w:ilvl="2" w:tplc="4CF25602">
      <w:numFmt w:val="decimal"/>
      <w:lvlText w:val=""/>
      <w:lvlJc w:val="left"/>
    </w:lvl>
    <w:lvl w:ilvl="3" w:tplc="ED046488">
      <w:numFmt w:val="decimal"/>
      <w:lvlText w:val=""/>
      <w:lvlJc w:val="left"/>
    </w:lvl>
    <w:lvl w:ilvl="4" w:tplc="52A4D4BC">
      <w:numFmt w:val="decimal"/>
      <w:lvlText w:val=""/>
      <w:lvlJc w:val="left"/>
    </w:lvl>
    <w:lvl w:ilvl="5" w:tplc="EF589C5A">
      <w:numFmt w:val="decimal"/>
      <w:lvlText w:val=""/>
      <w:lvlJc w:val="left"/>
    </w:lvl>
    <w:lvl w:ilvl="6" w:tplc="913C4CA8">
      <w:numFmt w:val="decimal"/>
      <w:lvlText w:val=""/>
      <w:lvlJc w:val="left"/>
    </w:lvl>
    <w:lvl w:ilvl="7" w:tplc="585AD716">
      <w:numFmt w:val="decimal"/>
      <w:lvlText w:val=""/>
      <w:lvlJc w:val="left"/>
    </w:lvl>
    <w:lvl w:ilvl="8" w:tplc="102A8980">
      <w:numFmt w:val="decimal"/>
      <w:lvlText w:val=""/>
      <w:lvlJc w:val="left"/>
    </w:lvl>
  </w:abstractNum>
  <w:abstractNum w:abstractNumId="1" w15:restartNumberingAfterBreak="0">
    <w:nsid w:val="6B8D56CE"/>
    <w:multiLevelType w:val="hybridMultilevel"/>
    <w:tmpl w:val="D3D29DCC"/>
    <w:lvl w:ilvl="0" w:tplc="28828600">
      <w:start w:val="1"/>
      <w:numFmt w:val="bullet"/>
      <w:lvlText w:val="●"/>
      <w:lvlJc w:val="left"/>
      <w:pPr>
        <w:ind w:left="720" w:hanging="360"/>
      </w:pPr>
    </w:lvl>
    <w:lvl w:ilvl="1" w:tplc="13642D12">
      <w:start w:val="1"/>
      <w:numFmt w:val="bullet"/>
      <w:lvlText w:val="○"/>
      <w:lvlJc w:val="left"/>
      <w:pPr>
        <w:ind w:left="1440" w:hanging="360"/>
      </w:pPr>
    </w:lvl>
    <w:lvl w:ilvl="2" w:tplc="65CCC7A0">
      <w:start w:val="1"/>
      <w:numFmt w:val="bullet"/>
      <w:lvlText w:val="■"/>
      <w:lvlJc w:val="left"/>
      <w:pPr>
        <w:ind w:left="2160" w:hanging="360"/>
      </w:pPr>
    </w:lvl>
    <w:lvl w:ilvl="3" w:tplc="E9E2272E">
      <w:start w:val="1"/>
      <w:numFmt w:val="bullet"/>
      <w:lvlText w:val="●"/>
      <w:lvlJc w:val="left"/>
      <w:pPr>
        <w:ind w:left="2880" w:hanging="360"/>
      </w:pPr>
    </w:lvl>
    <w:lvl w:ilvl="4" w:tplc="63D2F050">
      <w:start w:val="1"/>
      <w:numFmt w:val="bullet"/>
      <w:lvlText w:val="○"/>
      <w:lvlJc w:val="left"/>
      <w:pPr>
        <w:ind w:left="3600" w:hanging="360"/>
      </w:pPr>
    </w:lvl>
    <w:lvl w:ilvl="5" w:tplc="CCFA40C8">
      <w:start w:val="1"/>
      <w:numFmt w:val="bullet"/>
      <w:lvlText w:val="■"/>
      <w:lvlJc w:val="left"/>
      <w:pPr>
        <w:ind w:left="4320" w:hanging="360"/>
      </w:pPr>
    </w:lvl>
    <w:lvl w:ilvl="6" w:tplc="AB126A4A">
      <w:start w:val="1"/>
      <w:numFmt w:val="bullet"/>
      <w:lvlText w:val="●"/>
      <w:lvlJc w:val="left"/>
      <w:pPr>
        <w:ind w:left="5040" w:hanging="360"/>
      </w:pPr>
    </w:lvl>
    <w:lvl w:ilvl="7" w:tplc="FBD833A2">
      <w:start w:val="1"/>
      <w:numFmt w:val="bullet"/>
      <w:lvlText w:val="●"/>
      <w:lvlJc w:val="left"/>
      <w:pPr>
        <w:ind w:left="5760" w:hanging="360"/>
      </w:pPr>
    </w:lvl>
    <w:lvl w:ilvl="8" w:tplc="54A49082">
      <w:start w:val="1"/>
      <w:numFmt w:val="bullet"/>
      <w:lvlText w:val="●"/>
      <w:lvlJc w:val="left"/>
      <w:pPr>
        <w:ind w:left="6480" w:hanging="360"/>
      </w:pPr>
    </w:lvl>
  </w:abstractNum>
  <w:num w:numId="1" w16cid:durableId="914894056">
    <w:abstractNumId w:val="1"/>
    <w:lvlOverride w:ilvl="0">
      <w:startOverride w:val="1"/>
    </w:lvlOverride>
  </w:num>
  <w:num w:numId="2" w16cid:durableId="1356812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7B9"/>
    <w:rsid w:val="00374C78"/>
    <w:rsid w:val="005816CC"/>
    <w:rsid w:val="008357B9"/>
    <w:rsid w:val="00D952B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1C70"/>
  <w15:docId w15:val="{B5E399DE-17A8-46B7-AFD4-6AE01DDC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3443</Words>
  <Characters>19628</Characters>
  <Application>Microsoft Office Word</Application>
  <DocSecurity>0</DocSecurity>
  <Lines>163</Lines>
  <Paragraphs>46</Paragraphs>
  <ScaleCrop>false</ScaleCrop>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Rong Quan Yeo</cp:lastModifiedBy>
  <cp:revision>2</cp:revision>
  <dcterms:created xsi:type="dcterms:W3CDTF">2026-06-11T10:23:00Z</dcterms:created>
  <dcterms:modified xsi:type="dcterms:W3CDTF">2026-06-11T10:23:00Z</dcterms:modified>
</cp:coreProperties>
</file>