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5424" w14:textId="2E24460F" w:rsidR="00FA1D1C" w:rsidRDefault="00420297">
      <w:pPr>
        <w:pStyle w:val="Heading1"/>
      </w:pPr>
      <w:r>
        <w:t>1</w:t>
      </w:r>
      <w:r w:rsidR="00000000">
        <w:t>.  Method &amp; Data</w:t>
      </w:r>
    </w:p>
    <w:p w14:paraId="3225DC65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Trigger — amplitude-adjusted Global OECD CCI</w:t>
      </w:r>
      <w:r>
        <w:t xml:space="preserve"> (long-run mean 100). Preferred over MCSI because its thresholds are distributionally stable (rolling c₁ range ≈4.8 units vs ≈46 for MCSI) — the property cross-market comparison requires.</w:t>
      </w:r>
    </w:p>
    <w:p w14:paraId="7184D725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Rejected triggers: </w:t>
      </w:r>
      <w:r>
        <w:t>CAPE (endogenous to price), BIS credit-to-GDP gap (credit cycles are domestic, not global), VIX (one-tailed). Sentiment globalises; credit does not.</w:t>
      </w:r>
    </w:p>
    <w:p w14:paraId="103E9916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Sample cascade: </w:t>
      </w:r>
      <w:r>
        <w:t xml:space="preserve">48 markets → 27 pass Granger exogeneity → 23 admissible after T ≥ 340 </w:t>
      </w:r>
      <w:proofErr w:type="spellStart"/>
      <w:r>
        <w:t>obs</w:t>
      </w:r>
      <w:proofErr w:type="spellEnd"/>
      <w:r>
        <w:t xml:space="preserve"> (≈ 1998+, spanning </w:t>
      </w:r>
      <w:proofErr w:type="gramStart"/>
      <w:r>
        <w:t>dot-com</w:t>
      </w:r>
      <w:proofErr w:type="gramEnd"/>
      <w:r>
        <w:t>, GFC, COVID).</w:t>
      </w:r>
    </w:p>
    <w:p w14:paraId="4C83912C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Large markets drop at the exogeneity stage </w:t>
      </w:r>
      <w:r>
        <w:t>(US indices, UK, DAX, CAC 40, ASX 200): their equity returns move the GDP-weighted aggregate.</w:t>
      </w:r>
    </w:p>
    <w:p w14:paraId="6E6516F4" w14:textId="66C11297" w:rsidR="00FA1D1C" w:rsidRDefault="00420297">
      <w:pPr>
        <w:pStyle w:val="Heading1"/>
      </w:pPr>
      <w:r>
        <w:t>2</w:t>
      </w:r>
      <w:r w:rsidR="00000000">
        <w:t>.  Threshold Consistency</w:t>
      </w:r>
    </w:p>
    <w:p w14:paraId="372E83E7" w14:textId="77777777" w:rsidR="00FA1D1C" w:rsidRDefault="00000000">
      <w:pPr>
        <w:spacing w:before="40" w:after="24"/>
        <w:jc w:val="center"/>
      </w:pPr>
      <w:r>
        <w:rPr>
          <w:noProof/>
        </w:rPr>
        <w:drawing>
          <wp:inline distT="0" distB="0" distL="0" distR="0" wp14:anchorId="2D32988D" wp14:editId="09132F52">
            <wp:extent cx="5715000" cy="2200275"/>
            <wp:effectExtent l="0" t="0" r="0" b="0"/>
            <wp:docPr id="1" name="chart_thresholds.png" descr="Optimal TAR thresholds across the 23 markets, ordered by time-in-RW share." title="Optimal TAR thresholds across the 23 markets, ordered by time-in-RW sha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191A" w14:textId="77777777" w:rsidR="00FA1D1C" w:rsidRDefault="00000000"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1. </w:t>
      </w:r>
      <w:r>
        <w:rPr>
          <w:i/>
          <w:iCs/>
          <w:color w:val="555555"/>
          <w:sz w:val="16"/>
          <w:szCs w:val="16"/>
        </w:rPr>
        <w:t>Optimal TAR thresholds across the 23 markets, ordered by time-in-RW share.</w:t>
      </w:r>
    </w:p>
    <w:p w14:paraId="6FDAA84D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Lower thresholds c₁ cluster ≈ </w:t>
      </w:r>
      <w:r>
        <w:rPr>
          <w:b/>
          <w:bCs/>
        </w:rPr>
        <w:t>96.8–98.2</w:t>
      </w:r>
      <w:r>
        <w:t xml:space="preserve">; upper thresholds c₂ ≈ </w:t>
      </w:r>
      <w:r>
        <w:rPr>
          <w:b/>
          <w:bCs/>
        </w:rPr>
        <w:t>100.8–102.5</w:t>
      </w:r>
      <w:r>
        <w:t xml:space="preserve"> — straddling the CCI mean of 100.</w:t>
      </w:r>
    </w:p>
    <w:p w14:paraId="3277721B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Tight clustering means the same trigger value demarcates the same regime almost everywhere — the basis for a comparable cross-market metric.</w:t>
      </w:r>
    </w:p>
    <w:p w14:paraId="2B615173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Upward c₁ outliers (China, Philippines, Brazil) flag markets only loosely tied to global sentiment.</w:t>
      </w:r>
    </w:p>
    <w:p w14:paraId="4F7E61DF" w14:textId="65747F61" w:rsidR="00FA1D1C" w:rsidRDefault="00420297">
      <w:pPr>
        <w:pStyle w:val="Heading1"/>
      </w:pPr>
      <w:r>
        <w:t>3</w:t>
      </w:r>
      <w:r w:rsidR="00000000">
        <w:t>.  Cross-Market Efficiency Ranking</w:t>
      </w:r>
    </w:p>
    <w:p w14:paraId="3E7D9196" w14:textId="77777777" w:rsidR="00FA1D1C" w:rsidRDefault="00000000">
      <w:pPr>
        <w:spacing w:before="40" w:after="24"/>
        <w:jc w:val="center"/>
      </w:pPr>
      <w:r>
        <w:rPr>
          <w:noProof/>
        </w:rPr>
        <w:lastRenderedPageBreak/>
        <w:drawing>
          <wp:inline distT="0" distB="0" distL="0" distR="0" wp14:anchorId="400B04F3" wp14:editId="01C9C5E8">
            <wp:extent cx="3048000" cy="3390900"/>
            <wp:effectExtent l="0" t="0" r="0" b="0"/>
            <wp:docPr id="556930568" name="chart_efficiency_ranking.png" descr="Share of months in the efficient (RW) regime under the Global OECD CCI." title="Share of months in the efficient (RW) regime under the Global OECD CC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FEB5" w14:textId="77777777" w:rsidR="00FA1D1C" w:rsidRDefault="00000000"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2. </w:t>
      </w:r>
      <w:r>
        <w:rPr>
          <w:i/>
          <w:iCs/>
          <w:color w:val="555555"/>
          <w:sz w:val="16"/>
          <w:szCs w:val="16"/>
        </w:rPr>
        <w:t>Share of months in the efficient (RW) regime under the Global OECD CCI.</w:t>
      </w:r>
    </w:p>
    <w:p w14:paraId="28A65014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Time-in-RW (“efficiency”) ranges from </w:t>
      </w:r>
      <w:r>
        <w:rPr>
          <w:b/>
          <w:bCs/>
        </w:rPr>
        <w:t>94% (Turkey)</w:t>
      </w:r>
      <w:r>
        <w:t xml:space="preserve"> to </w:t>
      </w:r>
      <w:r>
        <w:rPr>
          <w:b/>
          <w:bCs/>
        </w:rPr>
        <w:t>34% (Japan)</w:t>
      </w:r>
      <w:r>
        <w:t>.</w:t>
      </w:r>
    </w:p>
    <w:p w14:paraId="0F5ADF84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“Efficiency” here = time in RW under this trigger, not a universal property (see Section 7 boundary).</w:t>
      </w:r>
    </w:p>
    <w:p w14:paraId="2C3D9309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Verdict taxonomy: </w:t>
      </w:r>
      <w:r>
        <w:t xml:space="preserve">Both-tails (most markets — captures </w:t>
      </w:r>
      <w:proofErr w:type="gramStart"/>
      <w:r>
        <w:t>dot-com</w:t>
      </w:r>
      <w:proofErr w:type="gramEnd"/>
      <w:r>
        <w:t xml:space="preserve"> EXP and GFC MR); Euphoria gauge (Malaysia, Taiwan — EXP only); Fear gauge (Brazil — MR only).</w:t>
      </w:r>
    </w:p>
    <w:p w14:paraId="513E9011" w14:textId="73C0D2F7" w:rsidR="00FA1D1C" w:rsidRDefault="00420297">
      <w:pPr>
        <w:pStyle w:val="Heading1"/>
      </w:pPr>
      <w:r>
        <w:t>4</w:t>
      </w:r>
      <w:r w:rsidR="00000000">
        <w:t>.  Four Behavioural Categories</w:t>
      </w:r>
    </w:p>
    <w:p w14:paraId="6829C72C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proofErr w:type="gramStart"/>
      <w:r>
        <w:rPr>
          <w:b/>
          <w:bCs/>
        </w:rPr>
        <w:t>Global-stress</w:t>
      </w:r>
      <w:proofErr w:type="gramEnd"/>
      <w:r>
        <w:rPr>
          <w:b/>
          <w:bCs/>
        </w:rPr>
        <w:t xml:space="preserve"> aligned </w:t>
      </w:r>
      <w:r>
        <w:t>(Hong Kong, Singapore, Switzerland, Spain, Netherlands, Israel, Indonesia, Malaysia, Taiwan): high RW; global episodes captured cleanly.</w:t>
      </w:r>
    </w:p>
    <w:p w14:paraId="25CACB83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Structural divergence </w:t>
      </w:r>
      <w:r>
        <w:t>(Japan; China SSE/SZSE): Japan 61% EXP — sentiment elevated vs deflation-era equities; China heavy MR — domestic boom-bust.</w:t>
      </w:r>
    </w:p>
    <w:p w14:paraId="6FEE22F9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High mean-reversion / Latin America </w:t>
      </w:r>
      <w:r>
        <w:t>(Mexico, Brazil, Argentina): MR from commodity &amp; crisis cycles; Brazil degenerate — 0% EXP, effectively two regimes.</w:t>
      </w:r>
    </w:p>
    <w:p w14:paraId="1DC0A81D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Recent-stress capture </w:t>
      </w:r>
      <w:r>
        <w:t xml:space="preserve">(South Korea, Philippines): episodes across </w:t>
      </w:r>
      <w:proofErr w:type="gramStart"/>
      <w:r>
        <w:t>dot-com</w:t>
      </w:r>
      <w:proofErr w:type="gramEnd"/>
      <w:r>
        <w:t>, GFC and — for the Philippines — COVID; MR shares 18% and 45%.</w:t>
      </w:r>
    </w:p>
    <w:p w14:paraId="02FE2B8B" w14:textId="5128FF01" w:rsidR="00FA1D1C" w:rsidRDefault="00420297">
      <w:pPr>
        <w:pStyle w:val="Heading1"/>
      </w:pPr>
      <w:r>
        <w:t>5</w:t>
      </w:r>
      <w:r w:rsidR="00000000">
        <w:t>.  Representative Case Studies</w:t>
      </w:r>
    </w:p>
    <w:p w14:paraId="6BD92027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Hong Kong </w:t>
      </w:r>
      <w:r>
        <w:t>— 87% RW; brief EXP at the 2000 peak, MR at the 2008 and 2020 troughs (textbook both-tails).</w:t>
      </w:r>
    </w:p>
    <w:p w14:paraId="03B35BE7" w14:textId="77777777" w:rsidR="00FA1D1C" w:rsidRDefault="00000000">
      <w:pPr>
        <w:spacing w:before="40" w:after="24"/>
        <w:jc w:val="center"/>
      </w:pPr>
      <w:r>
        <w:rPr>
          <w:noProof/>
        </w:rPr>
        <w:lastRenderedPageBreak/>
        <w:drawing>
          <wp:inline distT="0" distB="0" distL="0" distR="0" wp14:anchorId="34BA10C6" wp14:editId="61225E50">
            <wp:extent cx="5334000" cy="1638300"/>
            <wp:effectExtent l="0" t="0" r="0" b="0"/>
            <wp:docPr id="471917295" name="regimes_hangseng_GCCI.png" descr="Hang Seng under the Global OECD CCI — RW 87%, MR 10%, EXP 3%." title="Hang Seng under the Global OECD CCI — RW 87%, MR 10%, EXP 3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6E55" w14:textId="77777777" w:rsidR="00FA1D1C" w:rsidRDefault="00000000"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3. </w:t>
      </w:r>
      <w:r>
        <w:rPr>
          <w:i/>
          <w:iCs/>
          <w:color w:val="555555"/>
          <w:sz w:val="16"/>
          <w:szCs w:val="16"/>
        </w:rPr>
        <w:t>Hang Seng under the Global OECD CCI — RW 87%, MR 10%, EXP 3%.</w:t>
      </w:r>
    </w:p>
    <w:p w14:paraId="3A6A7C4F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Japan (Nikkei 225) </w:t>
      </w:r>
      <w:r>
        <w:t>— 61% EXP, the structural outlier; post-1990 divergence of sentiment from equity returns (a real finding, not a failure).</w:t>
      </w:r>
    </w:p>
    <w:p w14:paraId="222FBCD7" w14:textId="77777777" w:rsidR="00FA1D1C" w:rsidRDefault="00000000">
      <w:pPr>
        <w:spacing w:before="40" w:after="24"/>
        <w:jc w:val="center"/>
      </w:pPr>
      <w:r>
        <w:rPr>
          <w:noProof/>
        </w:rPr>
        <w:drawing>
          <wp:inline distT="0" distB="0" distL="0" distR="0" wp14:anchorId="7E89007F" wp14:editId="68E4F561">
            <wp:extent cx="5334000" cy="1638300"/>
            <wp:effectExtent l="0" t="0" r="0" b="0"/>
            <wp:docPr id="69396894" name="regimes_nikkei225_GCCI.png" descr="Nikkei 225 under the Global OECD CCI — RW 34%, MR 6%, EXP 61%." title="Nikkei 225 under the Global OECD CCI — RW 34%, MR 6%, EXP 61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4B4A" w14:textId="77777777" w:rsidR="00FA1D1C" w:rsidRDefault="00000000"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4. </w:t>
      </w:r>
      <w:r>
        <w:rPr>
          <w:i/>
          <w:iCs/>
          <w:color w:val="555555"/>
          <w:sz w:val="16"/>
          <w:szCs w:val="16"/>
        </w:rPr>
        <w:t>Nikkei 225 under the Global OECD CCI — RW 34%, MR 6%, EXP 61%.</w:t>
      </w:r>
    </w:p>
    <w:p w14:paraId="01911ECB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Shanghai (China SSE) </w:t>
      </w:r>
      <w:r>
        <w:t>— 47% MR / 52% RW; domestic boom-bust cycles (2007–08, 2015) read largely as mean reversion.</w:t>
      </w:r>
    </w:p>
    <w:p w14:paraId="3756FB1B" w14:textId="77777777" w:rsidR="00FA1D1C" w:rsidRDefault="00000000">
      <w:pPr>
        <w:spacing w:before="40" w:after="24"/>
        <w:jc w:val="center"/>
      </w:pPr>
      <w:r>
        <w:rPr>
          <w:noProof/>
        </w:rPr>
        <w:drawing>
          <wp:inline distT="0" distB="0" distL="0" distR="0" wp14:anchorId="32A68426" wp14:editId="39286D96">
            <wp:extent cx="5334000" cy="1638300"/>
            <wp:effectExtent l="0" t="0" r="0" b="0"/>
            <wp:docPr id="394467171" name="regimes_shanghai_GCCI.png" descr="Shanghai under the Global OECD CCI — RW 52%, MR 47%, EXP 1%." title="Shanghai under the Global OECD CCI — RW 52%, MR 47%, EXP 1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1ED7" w14:textId="77777777" w:rsidR="00FA1D1C" w:rsidRDefault="00000000"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5. </w:t>
      </w:r>
      <w:r>
        <w:rPr>
          <w:i/>
          <w:iCs/>
          <w:color w:val="555555"/>
          <w:sz w:val="16"/>
          <w:szCs w:val="16"/>
        </w:rPr>
        <w:t>Shanghai under the Global OECD CCI — RW 52%, MR 47%, EXP 1%.</w:t>
      </w:r>
    </w:p>
    <w:p w14:paraId="6367EFDA" w14:textId="1EB90B9A" w:rsidR="00FA1D1C" w:rsidRDefault="00420297">
      <w:pPr>
        <w:pStyle w:val="Heading1"/>
      </w:pPr>
      <w:r>
        <w:t>6</w:t>
      </w:r>
      <w:r w:rsidR="00000000">
        <w:t xml:space="preserve">.  The Framework’s Appropriate Domain </w:t>
      </w:r>
    </w:p>
    <w:p w14:paraId="25695E8E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A global trigger only resolves globally-shared sentiment — regional / domestic crises are </w:t>
      </w:r>
      <w:proofErr w:type="gramStart"/>
      <w:r>
        <w:t>invisible</w:t>
      </w:r>
      <w:proofErr w:type="gramEnd"/>
      <w:r>
        <w:t xml:space="preserve"> and the market is mislabelled efficient.</w:t>
      </w:r>
    </w:p>
    <w:p w14:paraId="2C09FE26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Diagnostic — first-difference correlation of national vs global CCI: </w:t>
      </w:r>
      <w:r>
        <w:t xml:space="preserve">USA 0.81 (dominates the aggregate), most OECD 0.50–0.70, </w:t>
      </w:r>
      <w:r>
        <w:rPr>
          <w:b/>
          <w:bCs/>
        </w:rPr>
        <w:t>Greece 0.37, Turkey 0.38, New Zealand 0.29</w:t>
      </w:r>
      <w:r>
        <w:t xml:space="preserve"> (low ⇒ needs a country-specific trigger).</w:t>
      </w:r>
    </w:p>
    <w:p w14:paraId="1667CE5A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Greece: </w:t>
      </w:r>
      <w:r>
        <w:t>global CCI 88% RW / 4% MR (</w:t>
      </w:r>
      <w:proofErr w:type="gramStart"/>
      <w:r>
        <w:t>misses</w:t>
      </w:r>
      <w:proofErr w:type="gramEnd"/>
      <w:r>
        <w:t xml:space="preserve"> crisis) → Greek CCI 44% MR / 25% EXP / 31% RW (crisis recovered).</w:t>
      </w:r>
    </w:p>
    <w:p w14:paraId="2763FE4E" w14:textId="77777777" w:rsidR="00FA1D1C" w:rsidRDefault="00000000">
      <w:pPr>
        <w:spacing w:before="40" w:after="24"/>
        <w:jc w:val="center"/>
      </w:pPr>
      <w:r>
        <w:rPr>
          <w:noProof/>
        </w:rPr>
        <w:lastRenderedPageBreak/>
        <w:drawing>
          <wp:inline distT="0" distB="0" distL="0" distR="0" wp14:anchorId="6DD820F4" wp14:editId="1775277B">
            <wp:extent cx="5334000" cy="1638300"/>
            <wp:effectExtent l="0" t="0" r="0" b="0"/>
            <wp:docPr id="1519257366" name="regimes_athex_GCCI.png" descr="ATHEX (Greece) under the Global OECD CCI — crisis missed (RW 88%)." title="ATHEX (Greece) under the Global OECD CCI — crisis missed (RW 88%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C53C" w14:textId="77777777" w:rsidR="00FA1D1C" w:rsidRDefault="00000000"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7a. </w:t>
      </w:r>
      <w:r>
        <w:rPr>
          <w:i/>
          <w:iCs/>
          <w:color w:val="555555"/>
          <w:sz w:val="16"/>
          <w:szCs w:val="16"/>
        </w:rPr>
        <w:t>ATHEX (Greece) under the Global OECD CCI — crisis missed (RW 88%).</w:t>
      </w:r>
    </w:p>
    <w:p w14:paraId="57DE72E6" w14:textId="77777777" w:rsidR="00FA1D1C" w:rsidRDefault="00000000">
      <w:pPr>
        <w:spacing w:before="40" w:after="24"/>
        <w:jc w:val="center"/>
      </w:pPr>
      <w:r>
        <w:rPr>
          <w:noProof/>
        </w:rPr>
        <w:drawing>
          <wp:inline distT="0" distB="0" distL="0" distR="0" wp14:anchorId="04785076" wp14:editId="16B369E1">
            <wp:extent cx="4476750" cy="2409825"/>
            <wp:effectExtent l="0" t="0" r="0" b="0"/>
            <wp:docPr id="1567817906" name="regimes_athex_country_CCI.png" descr="ATHEX (Greece) under the Greek-specific CCI — crisis recovered (MR 44%, EXP 25%)." title="ATHEX (Greece) under the Greek-specific CCI — crisis recovered (MR 44%, EXP 25%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D52C" w14:textId="77777777" w:rsidR="00FA1D1C" w:rsidRDefault="00000000"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7b. </w:t>
      </w:r>
      <w:r>
        <w:rPr>
          <w:i/>
          <w:iCs/>
          <w:color w:val="555555"/>
          <w:sz w:val="16"/>
          <w:szCs w:val="16"/>
        </w:rPr>
        <w:t>ATHEX (Greece) under the Greek-specific CCI — crisis recovered (MR 44%, EXP 25%).</w:t>
      </w:r>
    </w:p>
    <w:p w14:paraId="4B00B6E0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Turkey: </w:t>
      </w:r>
      <w:r>
        <w:t>global CCI 94% RW (tops the ranking) → Turkish CCI 48% EXP / 45% RW / 7% MR (domestic boom-bust emerges).</w:t>
      </w:r>
    </w:p>
    <w:p w14:paraId="75748A8F" w14:textId="77777777" w:rsidR="00FA1D1C" w:rsidRDefault="00000000">
      <w:pPr>
        <w:spacing w:before="40" w:after="24"/>
        <w:jc w:val="center"/>
      </w:pPr>
      <w:r>
        <w:rPr>
          <w:noProof/>
        </w:rPr>
        <w:drawing>
          <wp:inline distT="0" distB="0" distL="0" distR="0" wp14:anchorId="7BF19A40" wp14:editId="7EB78E52">
            <wp:extent cx="5334000" cy="1638300"/>
            <wp:effectExtent l="0" t="0" r="0" b="0"/>
            <wp:docPr id="2031598818" name="regimes_bist100_GCCI.png" descr="BIST 100 (Turkey) under the Global OECD CCI — domestic crises invisible (RW 94%)." title="BIST 100 (Turkey) under the Global OECD CCI — domestic crises invisible (RW 94%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9254" w14:textId="77777777" w:rsidR="00FA1D1C" w:rsidRDefault="00000000"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8a. </w:t>
      </w:r>
      <w:r>
        <w:rPr>
          <w:i/>
          <w:iCs/>
          <w:color w:val="555555"/>
          <w:sz w:val="16"/>
          <w:szCs w:val="16"/>
        </w:rPr>
        <w:t>BIST 100 (Turkey) under the Global OECD CCI — domestic crises invisible (RW 94%).</w:t>
      </w:r>
    </w:p>
    <w:p w14:paraId="4B9E5617" w14:textId="77777777" w:rsidR="00FA1D1C" w:rsidRDefault="00000000">
      <w:pPr>
        <w:spacing w:before="40" w:after="24"/>
        <w:jc w:val="center"/>
      </w:pPr>
      <w:r>
        <w:rPr>
          <w:noProof/>
        </w:rPr>
        <w:lastRenderedPageBreak/>
        <w:drawing>
          <wp:inline distT="0" distB="0" distL="0" distR="0" wp14:anchorId="62DBD068" wp14:editId="25D6FFEC">
            <wp:extent cx="4476750" cy="2409825"/>
            <wp:effectExtent l="0" t="0" r="0" b="0"/>
            <wp:docPr id="1678933117" name="regimes_bist100_country_CCI.png" descr="BIST 100 (Turkey) under the Turkish-specific CCI — boom-bust emerges (EXP 48%)." title="BIST 100 (Turkey) under the Turkish-specific CCI — boom-bust emerges (EXP 48%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8554" w14:textId="77777777" w:rsidR="00FA1D1C" w:rsidRDefault="00000000"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8b. </w:t>
      </w:r>
      <w:r>
        <w:rPr>
          <w:i/>
          <w:iCs/>
          <w:color w:val="555555"/>
          <w:sz w:val="16"/>
          <w:szCs w:val="16"/>
        </w:rPr>
        <w:t>BIST 100 (Turkey) under the Turkish-specific CCI — boom-bust emerges (EXP 48%).</w:t>
      </w:r>
    </w:p>
    <w:p w14:paraId="495C9A3E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Cause: </w:t>
      </w:r>
      <w:r>
        <w:t>GDP weighting — peripheral economies carry little weight and can move opposite the aggregate.</w:t>
      </w:r>
    </w:p>
    <w:p w14:paraId="0096153E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Proposed workflow: </w:t>
      </w:r>
      <w:r>
        <w:t>(1) Granger exogeneity → (2) Δ-correlation screen (~0.5) → (3) sub-period crisis validation (Spain: 0.71 overall but crisis-period divergence) → (4) implement with global or country trigger.</w:t>
      </w:r>
    </w:p>
    <w:p w14:paraId="18B9A166" w14:textId="77777777" w:rsidR="00FA1D1C" w:rsidRDefault="00000000">
      <w:pPr>
        <w:pStyle w:val="Heading1"/>
      </w:pPr>
      <w:r>
        <w:t>8.  Horizon Return Test</w:t>
      </w:r>
    </w:p>
    <w:p w14:paraId="24719089" w14:textId="77777777" w:rsidR="00FA1D1C" w:rsidRDefault="00000000">
      <w:pPr>
        <w:spacing w:before="40" w:after="24"/>
        <w:jc w:val="center"/>
      </w:pPr>
      <w:r>
        <w:rPr>
          <w:noProof/>
        </w:rPr>
        <w:drawing>
          <wp:inline distT="0" distB="0" distL="0" distR="0" wp14:anchorId="4424C7EB" wp14:editId="52164B47">
            <wp:extent cx="4305300" cy="2152650"/>
            <wp:effectExtent l="0" t="0" r="0" b="0"/>
            <wp:docPr id="688380642" name="chart_horizon_test.png" descr="Pooled 12-month forward log-returns by regime across the 23 markets." title="Pooled 12-month forward log-returns by regime across the 23 marke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ABE1" w14:textId="77777777" w:rsidR="00FA1D1C" w:rsidRDefault="00000000"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9. </w:t>
      </w:r>
      <w:r>
        <w:rPr>
          <w:i/>
          <w:iCs/>
          <w:color w:val="555555"/>
          <w:sz w:val="16"/>
          <w:szCs w:val="16"/>
        </w:rPr>
        <w:t>Pooled 12-month forward log-returns by regime across the 23 markets.</w:t>
      </w:r>
    </w:p>
    <w:p w14:paraId="4E48993D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12-month forward returns: </w:t>
      </w:r>
      <w:r>
        <w:t xml:space="preserve">MR </w:t>
      </w:r>
      <w:r>
        <w:rPr>
          <w:b/>
          <w:bCs/>
        </w:rPr>
        <w:t>+14.3</w:t>
      </w:r>
      <w:proofErr w:type="gramStart"/>
      <w:r>
        <w:rPr>
          <w:b/>
          <w:bCs/>
        </w:rPr>
        <w:t>%</w:t>
      </w:r>
      <w:r>
        <w:t xml:space="preserve">  |</w:t>
      </w:r>
      <w:proofErr w:type="gramEnd"/>
      <w:r>
        <w:t xml:space="preserve">  RW </w:t>
      </w:r>
      <w:r>
        <w:rPr>
          <w:b/>
          <w:bCs/>
        </w:rPr>
        <w:t>+7.9</w:t>
      </w:r>
      <w:proofErr w:type="gramStart"/>
      <w:r>
        <w:rPr>
          <w:b/>
          <w:bCs/>
        </w:rPr>
        <w:t>%</w:t>
      </w:r>
      <w:r>
        <w:t xml:space="preserve">  |</w:t>
      </w:r>
      <w:proofErr w:type="gramEnd"/>
      <w:r>
        <w:t xml:space="preserve">  EXP </w:t>
      </w:r>
      <w:r>
        <w:rPr>
          <w:b/>
          <w:bCs/>
        </w:rPr>
        <w:t>−3.3%</w:t>
      </w:r>
      <w:r>
        <w:t>.</w:t>
      </w:r>
    </w:p>
    <w:p w14:paraId="522B87B9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MR vs RW and EXP vs RW differences both </w:t>
      </w:r>
      <w:r>
        <w:rPr>
          <w:b/>
          <w:bCs/>
        </w:rPr>
        <w:t>p &lt; 0.001</w:t>
      </w:r>
      <w:r>
        <w:t>; MR–EXP spread &gt; 17 pp.</w:t>
      </w:r>
    </w:p>
    <w:p w14:paraId="6B029C2C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Regime labels carry genuine forward-return content — the validation absent from the original study.</w:t>
      </w:r>
    </w:p>
    <w:p w14:paraId="5E2E2743" w14:textId="77777777" w:rsidR="00FA1D1C" w:rsidRDefault="00000000">
      <w:pPr>
        <w:pStyle w:val="Heading1"/>
      </w:pPr>
      <w:r>
        <w:t>9.  Early vs Late Explosiveness</w:t>
      </w:r>
    </w:p>
    <w:p w14:paraId="2BA5291B" w14:textId="77777777" w:rsidR="00FA1D1C" w:rsidRDefault="00000000">
      <w:pPr>
        <w:spacing w:before="40" w:after="24"/>
        <w:jc w:val="center"/>
      </w:pPr>
      <w:r>
        <w:rPr>
          <w:noProof/>
        </w:rPr>
        <w:lastRenderedPageBreak/>
        <w:drawing>
          <wp:inline distT="0" distB="0" distL="0" distR="0" wp14:anchorId="3C52B284" wp14:editId="4B9755FB">
            <wp:extent cx="4305300" cy="2152650"/>
            <wp:effectExtent l="0" t="0" r="0" b="0"/>
            <wp:docPr id="1736137383" name="chart_exp_phase.png" descr="Early vs late phase of explosive episodes — 12-month forward returns." title="Early vs late phase of explosive episodes — 12-month forward retur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BCA2" w14:textId="77777777" w:rsidR="00FA1D1C" w:rsidRDefault="00000000"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10. </w:t>
      </w:r>
      <w:r>
        <w:rPr>
          <w:i/>
          <w:iCs/>
          <w:color w:val="555555"/>
          <w:sz w:val="16"/>
          <w:szCs w:val="16"/>
        </w:rPr>
        <w:t>Early vs late phase of explosive episodes — 12-month forward returns.</w:t>
      </w:r>
    </w:p>
    <w:p w14:paraId="3B1F8C29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Within EXP episodes: early phase </w:t>
      </w:r>
      <w:r>
        <w:rPr>
          <w:b/>
          <w:bCs/>
        </w:rPr>
        <w:t>+4.5%</w:t>
      </w:r>
      <w:r>
        <w:t xml:space="preserve"> vs late phase </w:t>
      </w:r>
      <w:r>
        <w:rPr>
          <w:b/>
          <w:bCs/>
        </w:rPr>
        <w:t>−11.5</w:t>
      </w:r>
      <w:proofErr w:type="gramStart"/>
      <w:r>
        <w:rPr>
          <w:b/>
          <w:bCs/>
        </w:rPr>
        <w:t>%</w:t>
      </w:r>
      <w:r>
        <w:t xml:space="preserve">  (</w:t>
      </w:r>
      <w:proofErr w:type="gramEnd"/>
      <w:r>
        <w:t>≈16 pp, p &lt; 0.001).</w:t>
      </w:r>
    </w:p>
    <w:p w14:paraId="4450DDBB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The build-up phase still pays; losses concentrate as the episode matures.</w:t>
      </w:r>
    </w:p>
    <w:p w14:paraId="6D572ACB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Ex-post (hindsight) split — a descriptive anatomy of episodes, not a real-time signal.</w:t>
      </w:r>
    </w:p>
    <w:p w14:paraId="4411A21C" w14:textId="77777777" w:rsidR="00FA1D1C" w:rsidRDefault="00000000">
      <w:pPr>
        <w:pStyle w:val="Heading1"/>
      </w:pPr>
      <w:r>
        <w:t>10.  Current Reading &amp; Next Steps</w:t>
      </w:r>
    </w:p>
    <w:p w14:paraId="7384E974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Early-2026 reading (caveated): </w:t>
      </w:r>
      <w:r>
        <w:t>the latest Global OECD CCI ≈ 97.55 sits below the typical c₁ of 97–98, placing most markets in MR and none in EXP — a correction/recovery reading, not a bubble signal (a classification at one trigger value, not a forecast).</w:t>
      </w:r>
    </w:p>
    <w:p w14:paraId="4CFD0CD0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Next: </w:t>
      </w:r>
      <w:r>
        <w:t>country-specific CCI for Mexico / Spain / Italy; robustness (bootstrap CIs, ex-COVID sub-sample); individual equities (per supervision); integration analysis vs MSCI World.</w:t>
      </w:r>
    </w:p>
    <w:p w14:paraId="22E16334" w14:textId="03FBF850" w:rsidR="00FA1D1C" w:rsidRDefault="00420297">
      <w:r>
        <w:rPr>
          <w:noProof/>
        </w:rPr>
        <w:drawing>
          <wp:inline distT="0" distB="0" distL="0" distR="0" wp14:anchorId="6305DD32" wp14:editId="5480D821">
            <wp:extent cx="4939145" cy="3914379"/>
            <wp:effectExtent l="0" t="0" r="0" b="0"/>
            <wp:docPr id="31607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471" cy="39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77AFD" w14:textId="77777777" w:rsidR="00FA1D1C" w:rsidRDefault="00000000">
      <w:pPr>
        <w:pStyle w:val="Heading1"/>
      </w:pPr>
      <w:r>
        <w:lastRenderedPageBreak/>
        <w:t>Appendix A.  Historical Episode Coverage</w:t>
      </w:r>
    </w:p>
    <w:p w14:paraId="2325FF1F" w14:textId="77777777" w:rsidR="00FA1D1C" w:rsidRDefault="00000000">
      <w:pPr>
        <w:spacing w:before="40" w:after="24"/>
        <w:jc w:val="center"/>
      </w:pPr>
      <w:r>
        <w:rPr>
          <w:noProof/>
        </w:rPr>
        <w:drawing>
          <wp:inline distT="0" distB="0" distL="0" distR="0" wp14:anchorId="07CA6AD5" wp14:editId="7B712F63">
            <wp:extent cx="2362200" cy="5200650"/>
            <wp:effectExtent l="0" t="0" r="0" b="0"/>
            <wp:docPr id="23904029" name="chart_episode_heatmap.png" descr="Share of episode months classified in the expected regime, by market and episode." title="Share of episode months classified in the expected regime, by market and episo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1F7B" w14:textId="77777777" w:rsidR="00FA1D1C" w:rsidRDefault="00000000">
      <w:pPr>
        <w:spacing w:after="120"/>
        <w:jc w:val="center"/>
      </w:pPr>
      <w:r>
        <w:rPr>
          <w:b/>
          <w:bCs/>
          <w:color w:val="555555"/>
          <w:sz w:val="16"/>
          <w:szCs w:val="16"/>
        </w:rPr>
        <w:t xml:space="preserve">Figure A1. </w:t>
      </w:r>
      <w:r>
        <w:rPr>
          <w:i/>
          <w:iCs/>
          <w:color w:val="555555"/>
          <w:sz w:val="16"/>
          <w:szCs w:val="16"/>
        </w:rPr>
        <w:t>Share of episode months classified in the expected regime, by market and episode.</w:t>
      </w:r>
    </w:p>
    <w:p w14:paraId="6FF975A4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% of episode months in the expected regime (</w:t>
      </w:r>
      <w:proofErr w:type="gramStart"/>
      <w:r>
        <w:t>dot-com</w:t>
      </w:r>
      <w:proofErr w:type="gramEnd"/>
      <w:r>
        <w:t xml:space="preserve"> → EXP; GFC and COVID → MR).</w:t>
      </w:r>
    </w:p>
    <w:p w14:paraId="50230B1D" w14:textId="77777777" w:rsidR="00FA1D1C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Window-definition sensitive; near-zero COVID coverage reflects the sentiment–equity lag. Shown for transparency, not as primary evidence.</w:t>
      </w:r>
    </w:p>
    <w:p w14:paraId="6B6E3F29" w14:textId="77777777" w:rsidR="00FA1D1C" w:rsidRDefault="00000000">
      <w:r>
        <w:br w:type="page"/>
      </w:r>
    </w:p>
    <w:p w14:paraId="7F79E9BF" w14:textId="77777777" w:rsidR="00FA1D1C" w:rsidRDefault="00000000">
      <w:pPr>
        <w:pStyle w:val="Heading1"/>
      </w:pPr>
      <w:r>
        <w:lastRenderedPageBreak/>
        <w:t>Appendix B.  Full Results Table</w:t>
      </w:r>
    </w:p>
    <w:p w14:paraId="03094D49" w14:textId="77777777" w:rsidR="00FA1D1C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>Admissible panel under the Global OECD CCI, ordered by time-in-RW. Shares rounded (may not sum to 100).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1640"/>
        <w:gridCol w:w="920"/>
        <w:gridCol w:w="920"/>
        <w:gridCol w:w="980"/>
        <w:gridCol w:w="3620"/>
      </w:tblGrid>
      <w:tr w:rsidR="00FA1D1C" w14:paraId="616EC8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E6979A" w14:textId="77777777" w:rsidR="00FA1D1C" w:rsidRDefault="00000000">
            <w:pPr>
              <w:spacing w:line="23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Index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52BDA0" w14:textId="77777777" w:rsidR="00FA1D1C" w:rsidRDefault="00000000">
            <w:pPr>
              <w:spacing w:line="23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Country / market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4162F7" w14:textId="77777777" w:rsidR="00FA1D1C" w:rsidRDefault="00000000">
            <w:pPr>
              <w:spacing w:line="23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RW %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7E6E47" w14:textId="77777777" w:rsidR="00FA1D1C" w:rsidRDefault="00000000">
            <w:pPr>
              <w:spacing w:line="23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MR %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597DC0" w14:textId="77777777" w:rsidR="00FA1D1C" w:rsidRDefault="00000000">
            <w:pPr>
              <w:spacing w:line="23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EXP %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8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39EE10" w14:textId="77777777" w:rsidR="00FA1D1C" w:rsidRDefault="00000000">
            <w:pPr>
              <w:spacing w:line="23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Verdict</w:t>
            </w:r>
          </w:p>
        </w:tc>
      </w:tr>
      <w:tr w:rsidR="00FA1D1C" w14:paraId="00A1517B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075923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bist100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F376C6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Turkey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20427F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94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A407A8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C6AC40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CABC29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5D6BA925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BF9454" w14:textId="77777777" w:rsidR="00FA1D1C" w:rsidRDefault="00000000">
            <w:pPr>
              <w:spacing w:line="232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klci</w:t>
            </w:r>
            <w:proofErr w:type="spellEnd"/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AA40A6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Malaysia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7ECEFC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90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D7799B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61040D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E55146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Euphoria gauge</w:t>
            </w:r>
          </w:p>
        </w:tc>
      </w:tr>
      <w:tr w:rsidR="00FA1D1C" w14:paraId="50AE0BE7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44CB8F" w14:textId="77777777" w:rsidR="00FA1D1C" w:rsidRDefault="00000000">
            <w:pPr>
              <w:spacing w:line="232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sti</w:t>
            </w:r>
            <w:proofErr w:type="spellEnd"/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41DBA2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Singapore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938F8C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89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F6C275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8EB8C1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528B12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74A7C5D2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0B7901" w14:textId="77777777" w:rsidR="00FA1D1C" w:rsidRDefault="00000000">
            <w:pPr>
              <w:spacing w:line="232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athex</w:t>
            </w:r>
            <w:proofErr w:type="spellEnd"/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2DFE46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Greece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806DE9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88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058378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918E27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0735CE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77B1229F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5D0D03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ta125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C91285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Israel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D83768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88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D26860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FAEB51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223DFE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74194814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8A1696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ta35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9156D5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Israel (TA-35)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BCD0CB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88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A2C40E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480B6E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EB333B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27B12ED5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EF2BD1" w14:textId="77777777" w:rsidR="00FA1D1C" w:rsidRDefault="00000000">
            <w:pPr>
              <w:spacing w:line="232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hangseng</w:t>
            </w:r>
            <w:proofErr w:type="spellEnd"/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70B0D7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Hong Kong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3CFF9F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87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275699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31EB46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1B9F0A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36C1587E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5E5FF1" w14:textId="77777777" w:rsidR="00FA1D1C" w:rsidRDefault="00000000">
            <w:pPr>
              <w:spacing w:line="232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twse</w:t>
            </w:r>
            <w:proofErr w:type="spellEnd"/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939417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Taiwan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A513A4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87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EF59E3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58351B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FA05E7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Euphoria gauge</w:t>
            </w:r>
          </w:p>
        </w:tc>
      </w:tr>
      <w:tr w:rsidR="00FA1D1C" w14:paraId="7E2F9D53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6CB111" w14:textId="77777777" w:rsidR="00FA1D1C" w:rsidRDefault="00000000">
            <w:pPr>
              <w:spacing w:line="232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smi</w:t>
            </w:r>
            <w:proofErr w:type="spellEnd"/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D1A41B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Switzerland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916BDD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86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E3BEC6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1A8254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06A689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292CD7AC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B364E7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ibex35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32AD30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Spain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2AD7E9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86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A9FECE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A0F3BD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B35768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05C5C9BE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5A9F60" w14:textId="77777777" w:rsidR="00FA1D1C" w:rsidRDefault="00000000">
            <w:pPr>
              <w:spacing w:line="232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jkse</w:t>
            </w:r>
            <w:proofErr w:type="spellEnd"/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A10111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Indonesia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B29ED3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85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83E097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4BD5D3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56D8BF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4A58E2B0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D933E6" w14:textId="77777777" w:rsidR="00FA1D1C" w:rsidRDefault="00000000">
            <w:pPr>
              <w:spacing w:line="232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aex</w:t>
            </w:r>
            <w:proofErr w:type="spellEnd"/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A8C909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Netherlands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3526E0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85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213998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AB2402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912583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1B3BB46E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FD5A72" w14:textId="77777777" w:rsidR="00FA1D1C" w:rsidRDefault="00000000">
            <w:pPr>
              <w:spacing w:line="232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merval</w:t>
            </w:r>
            <w:proofErr w:type="spellEnd"/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839F74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Argentina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890F64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83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203888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25A500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37EAE9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7855EF1B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8593E3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set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874096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Thailand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C57B27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82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127E01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78C95A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D14521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648C8B18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C2E336" w14:textId="77777777" w:rsidR="00FA1D1C" w:rsidRDefault="00000000">
            <w:pPr>
              <w:spacing w:line="232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hscei</w:t>
            </w:r>
            <w:proofErr w:type="spellEnd"/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934098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Hong Kong (H-</w:t>
            </w:r>
            <w:proofErr w:type="spellStart"/>
            <w:r>
              <w:rPr>
                <w:color w:val="000000"/>
                <w:sz w:val="16"/>
                <w:szCs w:val="16"/>
              </w:rPr>
              <w:t>shr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21E6FA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82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A6E3E8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820203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9418E9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3E3C8EA1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C0F9A6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lq45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363EA7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Indonesia (LQ45)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0E757E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81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BE4109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D1BD14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4F74B0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02A1C208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3898B8" w14:textId="77777777" w:rsidR="00FA1D1C" w:rsidRDefault="00000000">
            <w:pPr>
              <w:spacing w:line="232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ipc</w:t>
            </w:r>
            <w:proofErr w:type="spellEnd"/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47A9B3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Mexico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463695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70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A8C406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27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750878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D2F22F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736A741B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9D4EED" w14:textId="77777777" w:rsidR="00FA1D1C" w:rsidRDefault="00000000">
            <w:pPr>
              <w:spacing w:line="232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kospi</w:t>
            </w:r>
            <w:proofErr w:type="spellEnd"/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E99F69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South Korea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954A4D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69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502691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E4642A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E370C8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0B7CE768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F52CA3" w14:textId="77777777" w:rsidR="00FA1D1C" w:rsidRDefault="00000000">
            <w:pPr>
              <w:spacing w:line="232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szse</w:t>
            </w:r>
            <w:proofErr w:type="spellEnd"/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BE5ABB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China (SZSE)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AB98E4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57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153E52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37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047AF3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ED87BB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3EE1241C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C6256C" w14:textId="77777777" w:rsidR="00FA1D1C" w:rsidRDefault="00000000">
            <w:pPr>
              <w:spacing w:line="232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psei</w:t>
            </w:r>
            <w:proofErr w:type="spellEnd"/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967341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Philippines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D06857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54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3FC8BD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45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04F385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FF0EA1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7CA083CF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33160B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shanghai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E195F6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China (SSE)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42E2C6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52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0288B0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47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42C211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1C0961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  <w:tr w:rsidR="00FA1D1C" w14:paraId="0C25BA15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ED9788" w14:textId="77777777" w:rsidR="00FA1D1C" w:rsidRDefault="00000000">
            <w:pPr>
              <w:spacing w:line="232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bovespa</w:t>
            </w:r>
            <w:proofErr w:type="spellEnd"/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DB15A6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Brazil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DA4199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50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133837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50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606136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7E162D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Fear gauge</w:t>
            </w:r>
          </w:p>
        </w:tc>
      </w:tr>
      <w:tr w:rsidR="00FA1D1C" w14:paraId="299E0644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606351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nikkei225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CEC9ED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Japan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258F73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34</w:t>
            </w:r>
          </w:p>
        </w:tc>
        <w:tc>
          <w:tcPr>
            <w:tcW w:w="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FCD61D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AEFE3C" w14:textId="77777777" w:rsidR="00FA1D1C" w:rsidRDefault="00000000">
            <w:pPr>
              <w:spacing w:line="232" w:lineRule="auto"/>
              <w:jc w:val="center"/>
            </w:pPr>
            <w:r>
              <w:rPr>
                <w:color w:val="000000"/>
                <w:sz w:val="16"/>
                <w:szCs w:val="16"/>
              </w:rPr>
              <w:t>61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5C43B2" w14:textId="77777777" w:rsidR="00FA1D1C" w:rsidRDefault="00000000">
            <w:pPr>
              <w:spacing w:line="232" w:lineRule="auto"/>
            </w:pPr>
            <w:r>
              <w:rPr>
                <w:color w:val="000000"/>
                <w:sz w:val="16"/>
                <w:szCs w:val="16"/>
              </w:rPr>
              <w:t>Both tails</w:t>
            </w:r>
          </w:p>
        </w:tc>
      </w:tr>
    </w:tbl>
    <w:p w14:paraId="2E632942" w14:textId="77777777" w:rsidR="00E23200" w:rsidRDefault="00E23200"/>
    <w:sectPr w:rsidR="00E23200">
      <w:headerReference w:type="default" r:id="rId20"/>
      <w:footerReference w:type="default" r:id="rId21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62895" w14:textId="77777777" w:rsidR="00E23200" w:rsidRDefault="00E23200">
      <w:r>
        <w:separator/>
      </w:r>
    </w:p>
  </w:endnote>
  <w:endnote w:type="continuationSeparator" w:id="0">
    <w:p w14:paraId="7CEA3A5D" w14:textId="77777777" w:rsidR="00E23200" w:rsidRDefault="00E23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38258" w14:textId="77777777" w:rsidR="00FA1D1C" w:rsidRDefault="00000000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2029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7C06B" w14:textId="77777777" w:rsidR="00E23200" w:rsidRDefault="00E23200">
      <w:r>
        <w:separator/>
      </w:r>
    </w:p>
  </w:footnote>
  <w:footnote w:type="continuationSeparator" w:id="0">
    <w:p w14:paraId="02457DBF" w14:textId="77777777" w:rsidR="00E23200" w:rsidRDefault="00E23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78482" w14:textId="77777777" w:rsidR="00FA1D1C" w:rsidRDefault="00000000">
    <w:pPr>
      <w:pBdr>
        <w:bottom w:val="single" w:sz="4" w:space="2" w:color="CCCCCC"/>
      </w:pBdr>
      <w:jc w:val="right"/>
    </w:pPr>
    <w:r>
      <w:rPr>
        <w:color w:val="888888"/>
        <w:sz w:val="16"/>
        <w:szCs w:val="16"/>
      </w:rPr>
      <w:t>Results Summary · UROP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D0CC0"/>
    <w:multiLevelType w:val="hybridMultilevel"/>
    <w:tmpl w:val="8C54DA40"/>
    <w:lvl w:ilvl="0" w:tplc="6B8EB73E">
      <w:start w:val="1"/>
      <w:numFmt w:val="bullet"/>
      <w:lvlText w:val="–"/>
      <w:lvlJc w:val="left"/>
      <w:pPr>
        <w:ind w:left="900" w:hanging="300"/>
      </w:pPr>
    </w:lvl>
    <w:lvl w:ilvl="1" w:tplc="6838BB4C">
      <w:numFmt w:val="decimal"/>
      <w:lvlText w:val=""/>
      <w:lvlJc w:val="left"/>
    </w:lvl>
    <w:lvl w:ilvl="2" w:tplc="CE120FCA">
      <w:numFmt w:val="decimal"/>
      <w:lvlText w:val=""/>
      <w:lvlJc w:val="left"/>
    </w:lvl>
    <w:lvl w:ilvl="3" w:tplc="2A0206D6">
      <w:numFmt w:val="decimal"/>
      <w:lvlText w:val=""/>
      <w:lvlJc w:val="left"/>
    </w:lvl>
    <w:lvl w:ilvl="4" w:tplc="BA782DEA">
      <w:numFmt w:val="decimal"/>
      <w:lvlText w:val=""/>
      <w:lvlJc w:val="left"/>
    </w:lvl>
    <w:lvl w:ilvl="5" w:tplc="E968D708">
      <w:numFmt w:val="decimal"/>
      <w:lvlText w:val=""/>
      <w:lvlJc w:val="left"/>
    </w:lvl>
    <w:lvl w:ilvl="6" w:tplc="02BC25E2">
      <w:numFmt w:val="decimal"/>
      <w:lvlText w:val=""/>
      <w:lvlJc w:val="left"/>
    </w:lvl>
    <w:lvl w:ilvl="7" w:tplc="9AA8C9E2">
      <w:numFmt w:val="decimal"/>
      <w:lvlText w:val=""/>
      <w:lvlJc w:val="left"/>
    </w:lvl>
    <w:lvl w:ilvl="8" w:tplc="585C2F94">
      <w:numFmt w:val="decimal"/>
      <w:lvlText w:val=""/>
      <w:lvlJc w:val="left"/>
    </w:lvl>
  </w:abstractNum>
  <w:abstractNum w:abstractNumId="1" w15:restartNumberingAfterBreak="0">
    <w:nsid w:val="387B0852"/>
    <w:multiLevelType w:val="hybridMultilevel"/>
    <w:tmpl w:val="A852F36A"/>
    <w:lvl w:ilvl="0" w:tplc="E9FAE1E2">
      <w:start w:val="1"/>
      <w:numFmt w:val="bullet"/>
      <w:lvlText w:val="●"/>
      <w:lvlJc w:val="left"/>
      <w:pPr>
        <w:ind w:left="720" w:hanging="360"/>
      </w:pPr>
    </w:lvl>
    <w:lvl w:ilvl="1" w:tplc="2924B75A">
      <w:start w:val="1"/>
      <w:numFmt w:val="bullet"/>
      <w:lvlText w:val="○"/>
      <w:lvlJc w:val="left"/>
      <w:pPr>
        <w:ind w:left="1440" w:hanging="360"/>
      </w:pPr>
    </w:lvl>
    <w:lvl w:ilvl="2" w:tplc="7FC88E54">
      <w:start w:val="1"/>
      <w:numFmt w:val="bullet"/>
      <w:lvlText w:val="■"/>
      <w:lvlJc w:val="left"/>
      <w:pPr>
        <w:ind w:left="2160" w:hanging="360"/>
      </w:pPr>
    </w:lvl>
    <w:lvl w:ilvl="3" w:tplc="C4D6EFCE">
      <w:start w:val="1"/>
      <w:numFmt w:val="bullet"/>
      <w:lvlText w:val="●"/>
      <w:lvlJc w:val="left"/>
      <w:pPr>
        <w:ind w:left="2880" w:hanging="360"/>
      </w:pPr>
    </w:lvl>
    <w:lvl w:ilvl="4" w:tplc="416427CE">
      <w:start w:val="1"/>
      <w:numFmt w:val="bullet"/>
      <w:lvlText w:val="○"/>
      <w:lvlJc w:val="left"/>
      <w:pPr>
        <w:ind w:left="3600" w:hanging="360"/>
      </w:pPr>
    </w:lvl>
    <w:lvl w:ilvl="5" w:tplc="94A05404">
      <w:start w:val="1"/>
      <w:numFmt w:val="bullet"/>
      <w:lvlText w:val="■"/>
      <w:lvlJc w:val="left"/>
      <w:pPr>
        <w:ind w:left="4320" w:hanging="360"/>
      </w:pPr>
    </w:lvl>
    <w:lvl w:ilvl="6" w:tplc="B6CC68C2">
      <w:start w:val="1"/>
      <w:numFmt w:val="bullet"/>
      <w:lvlText w:val="●"/>
      <w:lvlJc w:val="left"/>
      <w:pPr>
        <w:ind w:left="5040" w:hanging="360"/>
      </w:pPr>
    </w:lvl>
    <w:lvl w:ilvl="7" w:tplc="48C87A90">
      <w:start w:val="1"/>
      <w:numFmt w:val="bullet"/>
      <w:lvlText w:val="●"/>
      <w:lvlJc w:val="left"/>
      <w:pPr>
        <w:ind w:left="5760" w:hanging="360"/>
      </w:pPr>
    </w:lvl>
    <w:lvl w:ilvl="8" w:tplc="727EB6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3A41D1"/>
    <w:multiLevelType w:val="hybridMultilevel"/>
    <w:tmpl w:val="876CBA90"/>
    <w:lvl w:ilvl="0" w:tplc="9496D7C2">
      <w:start w:val="1"/>
      <w:numFmt w:val="bullet"/>
      <w:lvlText w:val="•"/>
      <w:lvlJc w:val="left"/>
      <w:pPr>
        <w:ind w:left="460" w:hanging="300"/>
      </w:pPr>
      <w:rPr>
        <w:color w:val="2E5A88"/>
      </w:rPr>
    </w:lvl>
    <w:lvl w:ilvl="1" w:tplc="C19CF236">
      <w:numFmt w:val="decimal"/>
      <w:lvlText w:val=""/>
      <w:lvlJc w:val="left"/>
    </w:lvl>
    <w:lvl w:ilvl="2" w:tplc="B4ACDEF4">
      <w:numFmt w:val="decimal"/>
      <w:lvlText w:val=""/>
      <w:lvlJc w:val="left"/>
    </w:lvl>
    <w:lvl w:ilvl="3" w:tplc="F8DEDE6A">
      <w:numFmt w:val="decimal"/>
      <w:lvlText w:val=""/>
      <w:lvlJc w:val="left"/>
    </w:lvl>
    <w:lvl w:ilvl="4" w:tplc="38266F0A">
      <w:numFmt w:val="decimal"/>
      <w:lvlText w:val=""/>
      <w:lvlJc w:val="left"/>
    </w:lvl>
    <w:lvl w:ilvl="5" w:tplc="41CA3724">
      <w:numFmt w:val="decimal"/>
      <w:lvlText w:val=""/>
      <w:lvlJc w:val="left"/>
    </w:lvl>
    <w:lvl w:ilvl="6" w:tplc="C48A8C66">
      <w:numFmt w:val="decimal"/>
      <w:lvlText w:val=""/>
      <w:lvlJc w:val="left"/>
    </w:lvl>
    <w:lvl w:ilvl="7" w:tplc="C04CA770">
      <w:numFmt w:val="decimal"/>
      <w:lvlText w:val=""/>
      <w:lvlJc w:val="left"/>
    </w:lvl>
    <w:lvl w:ilvl="8" w:tplc="09FC79D4">
      <w:numFmt w:val="decimal"/>
      <w:lvlText w:val=""/>
      <w:lvlJc w:val="left"/>
    </w:lvl>
  </w:abstractNum>
  <w:num w:numId="1" w16cid:durableId="617755622">
    <w:abstractNumId w:val="1"/>
    <w:lvlOverride w:ilvl="0">
      <w:startOverride w:val="1"/>
    </w:lvlOverride>
  </w:num>
  <w:num w:numId="2" w16cid:durableId="9458172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D1C"/>
    <w:rsid w:val="00420297"/>
    <w:rsid w:val="00D5549E"/>
    <w:rsid w:val="00E23200"/>
    <w:rsid w:val="00FA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AC2AF"/>
  <w15:docId w15:val="{F8A6A6BC-0D15-4B4B-BDA5-3F8F82C44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3" w:color="DCE6F1"/>
      </w:pBdr>
      <w:spacing w:before="170" w:after="80"/>
      <w:outlineLvl w:val="0"/>
    </w:pPr>
    <w:rPr>
      <w:b/>
      <w:bCs/>
      <w:color w:val="2E5A88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995</Words>
  <Characters>5673</Characters>
  <Application>Microsoft Office Word</Application>
  <DocSecurity>0</DocSecurity>
  <Lines>47</Lines>
  <Paragraphs>13</Paragraphs>
  <ScaleCrop>false</ScaleCrop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Rong Quan Yeo</cp:lastModifiedBy>
  <cp:revision>2</cp:revision>
  <dcterms:created xsi:type="dcterms:W3CDTF">2026-06-17T08:48:00Z</dcterms:created>
  <dcterms:modified xsi:type="dcterms:W3CDTF">2026-06-17T08:48:00Z</dcterms:modified>
</cp:coreProperties>
</file>