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t>Universidad Internacional de La Rioja</w:t>
      </w:r>
    </w:p>
    <w:p>
      <w:pPr>
        <w:jc w:val="center"/>
      </w:pPr>
      <w:r>
        <w:t>Escuela Superior de Ingeniería y Tecnología</w:t>
      </w:r>
    </w:p>
    <w:p/>
    <w:p>
      <w:pPr>
        <w:jc w:val="center"/>
      </w:pPr>
      <w:r>
        <w:t>Máster Universitario en Inteligencia Artificial</w:t>
      </w:r>
    </w:p>
    <w:p/>
    <w:p/>
    <w:p>
      <w:pPr>
        <w:jc w:val="center"/>
      </w:pPr>
      <w:r>
        <w:rPr>
          <w:b/>
          <w:sz w:val="32"/>
        </w:rPr>
        <w:t>Sistema de alertas inteligentes por noticias para carteras de inversión mediante detección de eventos y estimación de impacto con procesamiento de lenguaje natural</w:t>
      </w:r>
    </w:p>
    <w:p/>
    <w:p>
      <w:pPr>
        <w:jc w:val="center"/>
      </w:pPr>
      <w:r>
        <w:t>Trabajo Fin de Estudios</w:t>
      </w:r>
    </w:p>
    <w:p/>
    <w:p>
      <w:pPr>
        <w:jc w:val="center"/>
      </w:pPr>
      <w:r>
        <w:t>Presentado por: Rubén Querol Cervantes</w:t>
      </w:r>
    </w:p>
    <w:p>
      <w:pPr>
        <w:jc w:val="center"/>
      </w:pPr>
      <w:r>
        <w:t>Director/a: [Nombre del director/a]</w:t>
      </w:r>
    </w:p>
    <w:p>
      <w:pPr>
        <w:jc w:val="center"/>
      </w:pPr>
      <w:r>
        <w:t>Ciudad: [Ciudad]</w:t>
      </w:r>
    </w:p>
    <w:p>
      <w:pPr>
        <w:jc w:val="center"/>
      </w:pPr>
      <w:r>
        <w:t>Fecha: [Fecha de presentación]</w:t>
      </w:r>
    </w:p>
    <w:p>
      <w:r>
        <w:br w:type="page"/>
      </w:r>
    </w:p>
    <w:p>
      <w:pPr>
        <w:pStyle w:val="Ttulo"/>
      </w:pPr>
      <w:r>
        <w:t>Resumen</w:t>
      </w:r>
    </w:p>
    <w:p>
      <w:pPr/>
      <w:r>
        <w:t>La inversión financiera contemporánea se enfrenta a una sobreabundancia informativa que dificulta al inversor individual la discriminación de noticias realmente relevantes para sus posiciones. Este Trabajo Fin de Máster (Trabajo Fin de Máster (TFM)) presenta el diseño, implementación y evaluación de InvestAIlert, un sistema inteligente de alertas por noticias orientado a carteras de inversión declaradas por el usuario. El sistema integra técnicas de procesamiento de lenguaje natural (procesamiento de lenguaje natural (NLP, por sus siglas en inglés), por sus siglas en inglés) financiero —análisis de sentimiento con FinBERT, reconocimiento de entidades, representaciones vectoriales densas (representaciones vectoriales densas (embeddings, término adoptado de forma generalizada en la comunidad investigadora al no existir un equivalente consolidado en español; véase Mikolov et al., 2013; Reimers y Gurevych, 2019)) para deduplicación semántica y clasificación de eventos mediante inferencia de lenguaje natural (inferencia de lenguaje natural (NLI, por sus siglas en inglés)) con BART-MNLI— con una lógica de personalización que evalúa la relevancia de cada noticia en función de la composición concreta de la cartera.</w:t>
      </w:r>
    </w:p>
    <w:p>
      <w:pPr/>
      <w:r>
        <w:t>La metodología combina un desarrollo incremental de software con una evaluación cuantitativa basada en un corpus de 40 noticias etiquetadas manualmente, tres carteras de referencia y un estudio de ablación que compara cuatro variantes del sistema (reglas, híbrido, híbrido con NLI y completo con modelos de lenguaje de gran escala). Los resultados de la variante basada en reglas muestran un F1 de 0,935 en detección de relevancia (precisión perfecta) y un F1 de 1,0 en identificación de activos afectados. El sistema genera alertas explicables con trazabilidad de fuente, estimación de dirección e impacto, y control de ruido mediante deduplicación semántica.</w:t>
      </w:r>
    </w:p>
    <w:p>
      <w:pPr/>
      <w:r>
        <w:t>La principal contribución reside en la integración de módulos de NLP financiero dentro de un marco de personalización por cartera, un enfoque que la literatura previa no ha abordado de forma conjunta. Adicionalmente, se aporta un conjunto de datos etiquetado bilingüe para la evaluación de sistemas de alertas financieras personalizadas.</w:t>
      </w:r>
    </w:p>
    <w:p/>
    <w:p>
      <w:pPr/>
      <w:r>
        <w:t>Palabras clave: alertas financieras, procesamiento de lenguaje natural, análisis de sentimiento, detección de eventos, carteras de inversión</w:t>
      </w:r>
    </w:p>
    <w:p>
      <w:r>
        <w:br w:type="page"/>
      </w:r>
    </w:p>
    <w:p>
      <w:pPr>
        <w:pStyle w:val="Ttulo"/>
      </w:pPr>
      <w:r>
        <w:t>Abstract</w:t>
      </w:r>
    </w:p>
    <w:p>
      <w:pPr/>
      <w:r>
        <w:t>Contemporary financial investing is characterized by an unprecedented abundance of textual information, making it difficult for individual investors to identify news that is genuinely material to their holdings. This Master's Thesis presents the design, implementation, and evaluation of InvestAIlert, an intelligent news-driven alert system tailored to user-declared investment portfolios. The system integrates financial natural language processing (NLP) techniques — análisis de sentimiento with FinBERT, named entity recognition, dense vector representations (embeddings) for semantic deduplication, and event classification via natural language inference (NLI) with BART-MNLI — with a personalization layer that assesses the relevance of each news item against the specific composition of the portfolio.</w:t>
      </w:r>
    </w:p>
    <w:p>
      <w:pPr/>
      <w:r>
        <w:t>The methodology combines incremental software development with quantitative evaluation based on a manually labeled corpus of 40 news items, three reference portfolios, and an ablation study comparing four system variants (rules, hybrid, hybrid with NLI, and full with large language models). Results for the rule-based variant show an F1 score of 0.935 for relevance detection (perfect precision) and an F1 of 1.0 for affected asset identification. The system generates explainable alerts with source traceability, direction and impact estimation, and noise control via semantic deduplication.</w:t>
      </w:r>
    </w:p>
    <w:p>
      <w:pPr/>
      <w:r>
        <w:t>The main contribution lies in integrating financial NLP modules within a portfolio-aware personalization marco, an approach not previously addressed holistically in the literature. Additionally, a bilingual labeled conjunto(s) de datos for evaluating personalized financial alert systems is provided as a standalone contribution.</w:t>
      </w:r>
    </w:p>
    <w:p/>
    <w:p>
      <w:pPr/>
      <w:r>
        <w:t>Keywords: financial alerts, natural language processing, análisis de sentimiento, event detection, investment portfolios</w:t>
      </w:r>
    </w:p>
    <w:p>
      <w:r>
        <w:br w:type="page"/>
      </w:r>
    </w:p>
    <w:p>
      <w:pPr>
        <w:pStyle w:val="Ttulo"/>
      </w:pPr>
      <w:r>
        <w:t>Índice de contenidos</w:t>
      </w:r>
    </w:p>
    <w:p>
      <w:pPr/>
      <w:r>
        <w:t>[El índice de contenidos se generará automáticamente en Word: Referencias → Tabla de contenido → Insertar tabla de contenido]</w:t>
      </w:r>
    </w:p>
    <w:p>
      <w:r>
        <w:br w:type="page"/>
      </w:r>
    </w:p>
    <w:p>
      <w:pPr>
        <w:pStyle w:val="Ttulo"/>
      </w:pPr>
      <w:r>
        <w:t>Índice de figuras</w:t>
      </w:r>
    </w:p>
    <w:p>
      <w:pPr/>
      <w:r>
        <w:t>[El índice de figuras se generará automáticamente en Word: Referencias → Insertar tabla de ilustraciones → Categoría: Figura]</w:t>
      </w:r>
    </w:p>
    <w:p>
      <w:pPr>
        <w:pStyle w:val="Ttulo"/>
      </w:pPr>
      <w:r>
        <w:t>Índice de tablas</w:t>
      </w:r>
    </w:p>
    <w:p>
      <w:pPr/>
      <w:r>
        <w:t>[El índice de tablas se generará automáticamente en Word: Referencias → Insertar tabla de ilustraciones → Categoría: Tabla]</w:t>
      </w:r>
    </w:p>
    <w:p>
      <w:r>
        <w:br w:type="page"/>
      </w:r>
    </w:p>
    <w:p>
      <w:pPr>
        <w:pStyle w:val="Ttulo1"/>
      </w:pPr>
      <w:r>
        <w:t>Introducción</w:t>
      </w:r>
    </w:p>
    <w:p>
      <w:pPr/>
      <w:r>
        <w:t>La inversión financiera contemporánea se desarrolla en un entorno caracterizado por una abundancia sin precedentes de información textual. Noticias corporativas, comunicados regulatorios, presentaciones a inversores, hechos relevantes, informes sectoriales, notas de prensa, transcripciones de resultados y publicaciones macroeconómicas se incorporan continuamente al proceso de formación de expectativas de los agentes. En ese contexto, la dificultad del inversor ya no reside en acceder a información, sino en discriminar cuál de ella es realmente material para sus posiciones y con qué urgencia debe ser procesada.</w:t>
      </w:r>
    </w:p>
    <w:p>
      <w:pPr/>
      <w:r>
        <w:t>Esta sobreabundancia informativa coincide, además, con un proceso de automatización creciente del asesoramiento financiero. La literatura sobre robo-advisors ha mostrado que el asesoramiento automatizado se ha consolidado como una línea propia dentro de fintech, especialmente en perfilado de riesgo, asignación de activos y rebalanceo. Cardillo y Chiappini (2024) identifican cuatro grandes corrientes de investigación —clasificación temprana, temas conductuales, rendimiento y modelización algorítmica—, mientras que Zhu, Vigren y Söderberg (2024) sitúan los servicios de asesoramiento financiero impulsados por IA dentro de una transformación más amplia del servicio financiero y de la interacción entre usuario y sistema.</w:t>
      </w:r>
    </w:p>
    <w:p>
      <w:pPr/>
      <w:r>
        <w:t>Sin embargo, la literatura también muestra que la automatización del consejo y la lectura de noticias financieras no han convergido todavía, de forma madura, en sistemas centrados en una cartera concreta. Los trabajos sobre robo-advisors se han ocupado principalmente de la asignación eficiente y la experiencia del usuario, mientras que el procesamiento de lenguaje natural (NLP, por sus siglas en inglés) financiero se ha concentrado en tareas como análisis de sentimiento, clasificación temática, predicción o extracción de entidades (Du et al., 2025). Más recientemente, los modelos fundacionales y los agentes basados en modelo de lenguaje de gran escala (LLM, por sus siglas en inglés) han ampliado las posibilidades de análisis, razonamiento y uso de herramientas externas en finanzas, pero todavía presentan retos importantes de evaluación, coste, gobernanza y robustez metodológica (Ding et al., 2024; Dong et al., 2025; Nguyen y Pham, 2026; ESMA, 2025).</w:t>
      </w:r>
    </w:p>
    <w:p>
      <w:pPr/>
      <w:r>
        <w:t>Partiendo de este contexto, el presente Trabajo Fin de Máster propone diseñar y evaluar un sistema inteligente de alertas por noticias para carteras de inversión. La idea no es construir un agente de negociación autónomo ni sustituir el juicio del inversor, sino desarrollar una capa intermedia de inteligencia informativa capaz de monitorizar fuentes fiables, detectar eventos relevantes para los activos mantenidos en cartera, estimar la posible dirección y severidad del impacto, y emitir alertas explicables con un control razonable del ruido y de los falsos positivos.</w:t>
      </w:r>
    </w:p>
    <w:p>
      <w:pPr/>
      <w:r>
        <w:t>El valor diferencial de esta propuesta se apoya en cuatro ejes. En primer lugar, la personalización: la relevancia de una noticia no se tratará como una propiedad absoluta del texto, sino como una relación entre la noticia y la exposición concreta del usuario. En segundo lugar, la representación estructurada del evento: el sistema no se limitará a detectar si una noticia es positiva o negativa, sino que intentará identificar si describe, por ejemplo, resultados empresariales, litigios, regulación, fusiones y adquisiciones, ciberincidentes o problemas operativos. En tercer lugar, la explicabilidad: la alerta deberá indicar qué activo puede verse afectado, qué evento ha sido detectado y por qué la señal se considera suficientemente relevante. En cuarto lugar, la evaluación dual: el sistema deberá ser medible tanto con métricas NLP como con un análisis de utilidad financiera apoyado en estudios de evento.</w:t>
      </w:r>
    </w:p>
    <w:p>
      <w:pPr/>
      <w:r>
        <w:t>Desde una perspectiva académica, la relevancia del trabajo reside en que combina varias líneas de investigación activas: robo-advisory, NLP financiero, extracción de eventos, estimación de impacto, evaluación de señales textuales y, de forma complementaria, gestión y revisión de carteras. Desde una perspectiva aplicada, la propuesta responde a una necesidad real del inversor moderno: reducir la fatiga informativa y priorizar únicamente aquellos eventos con potencial efecto material sobre su cartera.</w:t>
      </w:r>
    </w:p>
    <w:p>
      <w:pPr/>
      <w:r>
        <w:t>En consecuencia, este documento se organiza de la siguiente manera. Tras definir el problema y la motivación, se revisa el estado de la cuestión sobre robo-advisors, sistemas de apoyo a la inversión y agentes basados en LLM. A continuación se examina la literatura sobre NLP financiero aplicado a noticias y eventos de mercado, se introduce la optimización de carteras como contexto complementario y se presenta un análisis comparativo de trabajos previos. Finalmente, se formula el hueco de investigación detectado, se describe la propuesta del sistema, se detalla la metodología prevista y se cierra con unas conclusiones y un plan de trabajo para el desarrollo posterior del Trabajo Fin de Máster (TFM).</w:t>
      </w:r>
    </w:p>
    <w:p>
      <w:pPr>
        <w:pStyle w:val="Ttulo2"/>
      </w:pPr>
      <w:r>
        <w:t>Motivación</w:t>
      </w:r>
    </w:p>
    <w:p>
      <w:pPr/>
      <w:r>
        <w:t>El problema central que aborda este TFM es la transformación de un flujo masivo y heterogéneo de noticias financieras en señales útiles, personalizadas y operativamente manejables para la supervisión de una cartera de inversión. En la práctica, un inversor puede estar expuesto a decenas o cientos de titulares diarios relacionados con sus empresas, sectores, geografías o riesgos transversales. Filtrar manualmente ese flujo resulta costoso, inconsistente y, en muchos casos, inviable cuando se mantiene una cartera con varias posiciones y distintos horizontes temporales.</w:t>
      </w:r>
    </w:p>
    <w:p>
      <w:pPr/>
      <w:r>
        <w:t>El desafío no se reduce a detectar noticias "negativas" o "positivas". En finanzas, la materialidad depende del contexto. Una noticia de tono aparentemente neutro puede ser muy relevante si anticipa un cambio regulatorio, una sanción, una interrupción de suministro o una rebaja de guidance. A la inversa, un titular llamativo puede carecer de consecuencias económicas reales. La revisión de Du et al. (2025) muestra precisamente que el lenguaje financiero se utiliza hoy para muchas tareas distintas —sentimiento, predicción, cumplimiento normativo, gestión de riesgos o gestión de carteras—, lo que indica que la utilidad del texto es amplia pero fuertemente dependiente del caso de uso.</w:t>
      </w:r>
    </w:p>
    <w:p>
      <w:pPr/>
      <w:r>
        <w:t>Además, la relevancia de una noticia no es universal, sino contextual. Una misma publicación puede ser crítica para un inversor con exposición directa a una compañía determinada y completamente irrelevante para otro. Este hecho diferencia el problema aquí tratado de buena parte de la literatura de análisis de sentimiento agregada, que evalúa textos por su polaridad general, pero no necesariamente por su relación con una cartera concreta. En este sentido, el usuario no necesita saber solo si el mercado está "más optimista" o "más pesimista", sino si un evento específico puede afectar a sus posiciones y con qué intensidad probable.</w:t>
      </w:r>
    </w:p>
    <w:p>
      <w:pPr/>
      <w:r>
        <w:t>Existe también un problema claro de confianza y trazabilidad. La investigación sobre adopción de robo-advisors ha mostrado de manera consistente que variables como la confianza, la ansiedad tecnológica, la expectativa de rendimiento y la preferencia por asesores humanos afectan a la intención de uso (Fatima y Chakraborty, 2024). Complementariamente, Cao, De Zwaan y Wong (2025) subrayan que la confianza en robo-advice se apoya no solo en la tecnología, sino también en la confianza en la firma y en el sistema regulatorio, y que muchos usuarios prefieren modelos híbridos. Esta evidencia es muy relevante para el TFM: una alerta financiera útil no debe ser una caja negra, sino una salida explicable y trazable.</w:t>
      </w:r>
    </w:p>
    <w:p>
      <w:pPr/>
      <w:r>
        <w:t>Un riesgo adicional en sistemas de monitorización informativa es la sobrealerta. Un mismo hecho puede aparecer replicado en varios medios, reformulado por agregadores o ampliado en sucesivas publicaciones. Si el sistema no incorpora mecanismos de deduplicación y agrupación semántica, el usuario puede acabar recibiendo múltiples alertas redundantes sobre un único evento. En la práctica, eso degrada la utilidad del sistema aunque sus modelos de clasificación sean razonablemente buenos.</w:t>
      </w:r>
    </w:p>
    <w:p>
      <w:pPr/>
      <w:r>
        <w:t>Por todo ello, la motivación del trabajo es doble. En el plano práctico, se pretende construir una herramienta que ayude a separar señal de ruido para un inversor concreto. En el plano científico, se busca integrar de forma coherente varias piezas de la literatura —relevancia contextual, extracción de eventos, estimación de impacto, explicabilidad y evaluación financiera— en un problema unitario y defendible. Esta combinación convierte el proyecto en una contribución realista y a la vez lo bastante ambiciosa como para resultar relevante dentro de un TFM de perfil técnico.</w:t>
      </w:r>
    </w:p>
    <w:p>
      <w:pPr/>
      <w:r>
        <w:t>Un aspecto adicional que refuerza la motivación de este trabajo es la necesidad de contrarrestar las limitaciones de los modelos de lenguaje de gran escala cuando se emplean en contextos financieros. La literatura reciente ha documentado de forma creciente el fenómeno de las alucinaciones en estos modelos: la generación de información plausible pero no sustentada en evidencia real (Ji et al., 2023). En el ámbito financiero, donde las decisiones se apoyan en datos verificables y fuentes primarias, este riesgo resulta particularmente problemático. Un sistema de alertas basado en fuentes trazables y en técnicas de extracción de información —en lugar de en la generación libre de texto— constituye una respuesta deliberada a esta limitación: la información que recibe el inversor procede de noticias reales, procesadas y verificadas, no de contenido fabricado por un modelo generativo. Esta orientación hacia la información basada en evidencias es uno de los principios rectores del diseño del sistema propuesto.</w:t>
      </w:r>
    </w:p>
    <w:p>
      <w:pPr>
        <w:pStyle w:val="Ttulo2"/>
      </w:pPr>
      <w:r>
        <w:t>Planteamiento del trabajo</w:t>
      </w:r>
    </w:p>
    <w:p>
      <w:pPr/>
      <w:r>
        <w:t>La revisión bibliográfica que se desarrolla en el capítulo 2 permite identificar un hueco de investigación claro: la literatura dispone de trabajos maduros sobre robo-advisors, sobre análisis de sentimiento financiero, sobre extracción de eventos y sobre agentes basados en modelos de lenguaje de gran escala, pero estos avances no han convergido en un sistema integrado que condicione la relevancia de una noticia a la composición de una cartera concreta.</w:t>
      </w:r>
    </w:p>
    <w:p>
      <w:pPr/>
      <w:r>
        <w:t>El hueco de investigación identificado no consiste en la ausencia total de trabajos sobre inversión automatizada o sobre análisis de noticias financieras. Al contrario, la literatura es abundante en ambos frentes. El problema es que las contribuciones existentes aparecen desalineadas con el caso de uso exacto que aquí interesa: una cartera concreta, un flujo continuo de noticias, una priorización material del evento y una salida final en forma de alerta explicable.</w:t>
      </w:r>
    </w:p>
    <w:p>
      <w:pPr/>
      <w:r>
        <w:t>Para responder al hueco identificado se propone un sistema inteligente de alertas por noticias orientado a una cartera de inversión declarada por el usuario. La arquitectura se concibe como una cadena modular de transformación de información: cartera del usuario, ingesta de noticias, preprocesado NLP, cálculo de relevancia por cartera, clasificación del evento, estimación de dirección y severidad, motor de alertas y generación final de una salida explicable.</w:t>
      </w:r>
    </w:p>
    <w:p>
      <w:pPr/>
      <w:r>
        <w:t>El principio rector del diseño es que el sistema no debe maximizar el número de noticias procesadas ni la complejidad del modelo, sino la utilidad de cada alerta emitida. Una alerta útil es aquella que llega con suficiente rapidez, se refiere a un activo o exposición relevante para el usuario, describe un evento con materialidad plausible, ofrece una estimación prudente del impacto y justifica con claridad por qué se ha disparado.</w:t>
      </w:r>
    </w:p>
    <w:p>
      <w:pPr/>
      <w:r>
        <w:t>En la práctica, la propuesta se articula en siete módulos. El primero modela la cartera, normalizando tickers, nombres, sectores y geografías. El segundo adquiere información desde fuentes reputadas y, cuando sea posible, primarias. El tercero limpia y enriquece el texto mediante reconocimiento de entidades y metadatos. El cuarto calcula relevancia por cartera combinando reglas y similitud semántica. El quinto clasifica el tipo de evento. El sexto estima dirección, severidad y confianza. El séptimo fusiona todas las señales en un motor de alertas con anti-correo no deseado, deduplicación y explicación final.</w:t>
      </w:r>
    </w:p>
    <w:p>
      <w:pPr>
        <w:pStyle w:val="Ttulo2"/>
      </w:pPr>
      <w:r>
        <w:t>Estructura del trabajo</w:t>
      </w:r>
    </w:p>
    <w:p>
      <w:pPr/>
      <w:r>
        <w:t>El presente documento se estructura en cinco capítulos, además de las referencias bibliográficas y un anexo. A continuación se describe brevemente el contenido de cada uno.</w:t>
      </w:r>
    </w:p>
    <w:p>
      <w:pPr/>
      <w:r>
        <w:t>El capítulo 1 (Introducción) ha presentado la motivación del trabajo, el problema detectado y el planteamiento general de la solución propuesta.</w:t>
      </w:r>
    </w:p>
    <w:p>
      <w:pPr/>
      <w:r>
        <w:t>El capítulo 2 (Contexto y estado de la cuestión) revisa en profundidad la literatura sobre robo-advisors, adopción y confianza del usuario, agentes financieros basados en modelos de lenguaje de gran escala, procesamiento de lenguaje natural financiero aplicado a noticias y eventos, y optimización de carteras como marco complementario. Se concluye con el análisis comparativo y la identificación del hueco de investigación.</w:t>
      </w:r>
    </w:p>
    <w:p>
      <w:pPr/>
      <w:r>
        <w:t>El capítulo 3 (Objetivos concretos y metodología de trabajo) formula el objetivo general y los objetivos específicos del trabajo siguiendo la metodología inteligente, y describe la metodología de desarrollo incremental seguida.</w:t>
      </w:r>
    </w:p>
    <w:p>
      <w:pPr/>
      <w:r>
        <w:t>El capítulo 4 (Desarrollo específico de la contribución) detalla la identificación de requisitos, la arquitectura y los módulos del sistema implementado, y presenta la evaluación cuantitativa con el estudio de ablación y el corpus etiquetado como contribución propia.</w:t>
      </w:r>
    </w:p>
    <w:p>
      <w:pPr/>
      <w:r>
        <w:t>El capítulo 5 (Conclusiones y trabajo futuro) resume las aportaciones del trabajo, discute el grado de consecución de los objetivos y señala las líneas de trabajo futuro más prometedoras.</w:t>
      </w:r>
    </w:p>
    <w:p>
      <w:pPr/>
      <w:r>
        <w:t>Finalmente, el Anexo A proporciona la referencia al repositorio de código fuente y a los datos empleados en la evaluación.</w:t>
      </w:r>
    </w:p>
    <w:p>
      <w:r>
        <w:br w:type="page"/>
      </w:r>
    </w:p>
    <w:p>
      <w:pPr>
        <w:pStyle w:val="Ttulo1"/>
      </w:pPr>
      <w:r>
        <w:t>Contexto y estado de la cuestión</w:t>
      </w:r>
    </w:p>
    <w:p>
      <w:pPr/>
      <w:r>
        <w:t>Este capítulo revisa el estado actual de la investigación en las tres líneas que convergen en el sistema propuesto: el asesoramiento financiero automatizado (robo-advisors), el procesamiento de lenguaje natural aplicado a finanzas, y los agentes basados en modelos de lenguaje de gran escala. Se analiza también la optimización de carteras como marco complementario y se concluye con la identificación del hueco de investigación que justifica la presente contribución.</w:t>
      </w:r>
    </w:p>
    <w:p>
      <w:pPr>
        <w:pStyle w:val="Ttulo2"/>
      </w:pPr>
      <w:r>
        <w:t>Contexto del problema</w:t>
      </w:r>
    </w:p>
    <w:p>
      <w:pPr/>
      <w:r>
        <w:t>2.1.1. Robo-advisors tradicionales: asignación, perfilado y automatización del consejo</w:t>
      </w:r>
    </w:p>
    <w:p>
      <w:pPr/>
      <w:r>
        <w:t>La literatura reciente coincide en que los robo-advisors constituyen la primera gran ola de automatización del asesoramiento financiero minorista. Su propuesta de valor histórica se ha basado en reducir costes, estandarizar el perfilado de riesgo, automatizar recomendaciones de inversión y facilitar el rebalanceo de cartera. Cardillo y Chiappini (2024), en una revisión sistemática de trabajos publicados entre 2017 y 2022, identifican cuatro clústeres de investigación particularmente estables: clasificación temprana de estos sistemas, temas conductuales, comparación de rendimiento frente a bancos de pruebas y modelización algorítmica.</w:t>
      </w:r>
    </w:p>
    <w:p>
      <w:pPr/>
      <w:r>
        <w:t>Este mapa resulta útil porque muestra que la investigación sobre robo-advisors se ha concentrado mucho más en la arquitectura del servicio y en su aceptación por el usuario que en la explotación avanzada de información no estructurada. Desde otra perspectiva, Zhu, Vigren y Söderberg (2024) reinterpretan el robo-advisor como un caso específico de servicio financiero empoderado por IA y subrayan que la literatura sigue dispersa entre finanzas, marketing de servicios, sistemas de información y comportamiento del consumidor. Dicho de otro modo: el robo-advisor no es solo un problema de optimización de carteras, sino también de confianza, interacción y diseño de servicio.</w:t>
      </w:r>
    </w:p>
    <w:p>
      <w:pPr/>
      <w:r>
        <w:t>Los trabajos más recientes han sofisticado aún más esta línea. Namyslo, Jung y Sturm (2025) realizan una consolidación sistemática de requisitos de diseño y concluyen que, tras catorce años de investigación, siguen existiendo nociones fragmentadas e incluso inconsistentes sobre lo que constituye un buen diseño de robo-advisory. Su síntesis de seis categorías de requisitos y ocho categorías de recomendaciones apunta a una cuestión importante para este TFM: un sistema de apoyo a la inversión no puede evaluarse solo por la calidad algorítmica de su núcleo, sino también por la forma en que organiza, explica y presenta la información al usuario.</w:t>
      </w:r>
    </w:p>
    <w:p>
      <w:pPr/>
      <w:r>
        <w:t>Nourallah, Öhman, Walther y Nguyen (2026), en una revisión de alcance sobre financial robo-advisors, proponen una lectura algo distinta pero complementaria. Para estos autores, la investigación reciente puede resumirse en dos grandes corrientes: una de asset management, centrada en el diseño y funcionamiento técnico de los asesores automatizados, y otra de behavioural finance, centrada en adopción, sesgos y comportamiento. Su diagnóstico refuerza la idea de que todavía existe una separación significativa entre los enfoques de cartera y los enfoques de comportamiento, separación que también aparece cuando se compara la literatura de robo-advisory con la de NLP financiero.</w:t>
      </w:r>
    </w:p>
    <w:p/>
    <w:p>
      <w:pPr/>
      <w:r>
        <w:t>2.1.2. Adopción, confianza y límites de personalización</w:t>
      </w:r>
    </w:p>
    <w:p>
      <w:pPr/>
      <w:r>
        <w:t>Una parte importante de la literatura reciente sobre robo-advisors no se pregunta solo qué hacen estos sistemas, sino por qué los usuarios confían —o no confían— en ellos. Fatima y Chakraborty (2024), analizando el caso de India, muestran que la confianza, la ansiedad, la expectativa de rendimiento y la preferencia por asesores humanos influyen significativamente en la intención de adopción. El resultado es relevante porque el asesoramiento financiero automatizado se desarrolla en un dominio de alto riesgo percibido: incluso cuando la tecnología parece eficiente, la adopción puede frenarse por factores psicológicos y relacionales.</w:t>
      </w:r>
    </w:p>
    <w:p>
      <w:pPr/>
      <w:r>
        <w:t>Cao, De Zwaan y Wong (2025) profundizan en esta cuestión desde una lógica de trust transfer theory. Su estudio cualitativo identifica cuatro temas que configuran la confianza en robo-advice: influencia social, comodidad psicológica, salvaguardas y cumplimiento, y capacidad personal. Los autores distinguen además entre confianza en la tecnología, confianza en la firma y confianza en el sistema. Esta triple distinción es especialmente útil para el TFM porque sugiere que un futuro sistema de alertas no debería pensarse solo como un clasificador técnicamente competente, sino como una pieza insertada en una cadena de legitimidad donde importan la fuente, la trazabilidad y la capacidad del usuario para comprender la salida.</w:t>
      </w:r>
    </w:p>
    <w:p>
      <w:pPr/>
      <w:r>
        <w:t>Esta lectura se refuerza con trabajos que matizan el efecto de las garantías formales. Tausch, Wischnewski, Yalciner y Neider (2025) estudian el impacto de la certificación y la verificación formal en robo-advisors y concluyen que dichas medidas no incrementan de forma clara la confianza subjetiva del usuario, aunque sí pueden influir en su comportamiento de inversión en determinados contextos experimentales. El hallazgo es importante porque indica que la confianza no se resuelve solo con promesas institucionales; también depende de la experiencia del usuario y de la interpretabilidad práctica de la recomendación.</w:t>
      </w:r>
    </w:p>
    <w:p>
      <w:pPr/>
      <w:r>
        <w:t>En conjunto, esta literatura permite extraer una conclusión central para el presente trabajo: los robo-advisors han avanzado en automatización y accesibilidad, pero su personalización suele apoyarse sobre todo en cuestionarios de riesgo, horizonte temporal y asignación de pesos, no en la lectura contextual de eventos textuales que afectan a los activos mantenidos. Esa carencia no invalida su utilidad; simplemente delimita un espacio donde otras capas de inteligencia —como la propuesta en este TFM— pueden resultar complementarias.</w:t>
      </w:r>
    </w:p>
    <w:p/>
    <w:p>
      <w:pPr/>
      <w:r>
        <w:t>2.1.3. Optimización de carteras como marco complementario</w:t>
      </w:r>
    </w:p>
    <w:p>
      <w:pPr/>
      <w:r>
        <w:t>La optimización de carteras no constituye el núcleo del presente TFM, pero sí un marco complementario necesario para situar la utilidad final de las alertas. Detectar eventos informativos relevantes solo cobra pleno sentido cuando se entiende qué tipo de decisión posterior podría desencadenar esa detección: revisar una exposición, reducir un peso, realizar una cobertura o simplemente priorizar una supervisión más atenta del activo afectado.</w:t>
      </w:r>
    </w:p>
    <w:p>
      <w:pPr/>
      <w:r>
        <w:t>Zhao et al. (2025), en una revisión sistemática de 224 trabajos publicados entre 2019 y 2024, concluyen que la optimización moderna de carteras sigue siendo un campo fuertemente activo y fragmentado, con extensiones sobre el marco media-varianza, modelos robustos, medidas de riesgo alternativas y enfoques híbridos con aprendizaje automático. Esta diversidad metodológica es útil para el TFM porque confirma que la decisión de cartera rara vez se apoya ya en un único paradigma simple.</w:t>
      </w:r>
    </w:p>
    <w:p>
      <w:pPr/>
      <w:r>
        <w:t>En este contexto, el vínculo con el sistema propuesto es claro aunque indirecto. El motor de alertas no decidirá por sí mismo los pesos óptimos, pero sí puede funcionar como una capa previa de vigilancia informativa. De hecho, una parte relevante de la literatura sobre modelos tipo Black–Litterman se basa precisamente en introducir 'views' o visiones externas dentro de la asignación. Trabajos recientes como el de Wu et al. (2025), que extiende Black–Litterman con CVaR y visiones macroeconómicas, muestran que la incorporación de información exógena estructurada sigue siendo una vía fértil de investigación en asignación de activos.</w:t>
      </w:r>
    </w:p>
    <w:p>
      <w:pPr/>
      <w:r>
        <w:t>Desde una perspectiva práctica, esta relación puede explorarse sin sobredimensionar el alcance del TFM. Existen librerías maduras como Riskfolio-Lib, cuya documentación oficial la presenta como una herramienta para optimización de carteras en Python construida sobre CVXPY e integrada con estructuras de datos de pandas, con soporte para múltiples funciones objetivo y medidas de riesgo. Esto permite contemplar, en una fase posterior, experimentos sencillos donde una alerta de alta severidad se traduzca en una revisión táctica simulada de la cartera, sin que el trabajo tenga que convertirse en un tratado completo de optimización (Riskfolio-Lib, 2026).</w:t>
      </w:r>
    </w:p>
    <w:p>
      <w:pPr/>
      <w:r>
        <w:t>En consecuencia, la optimización de carteras debe entenderse aquí como contexto funcional. No desplaza el foco del TFM; lo enmarca. El sistema propuesto aspira a mejorar la calidad de la información que llega al inversor. La optimización representa uno de los espacios donde, más adelante, esa información podría transformarse en una decisión racional de gestión.</w:t>
      </w:r>
    </w:p>
    <w:p>
      <w:pPr>
        <w:pStyle w:val="Ttulo2"/>
      </w:pPr>
      <w:r>
        <w:t>Estado de la cuestión</w:t>
      </w:r>
    </w:p>
    <w:p>
      <w:pPr/>
      <w:r>
        <w:t>2.2.1. Del asesoramiento automatizado a los agentes de inversión basados en modelos de lenguaje de gran escala</w:t>
      </w:r>
    </w:p>
    <w:p>
      <w:pPr/>
      <w:r>
        <w:t>El salto más reciente dentro del estado de la cuestión se produce con la aparición de agentes financieros basados en grandes modelos de lenguaje. Ding, Li, Wang y Chen (2024) revisan la investigación inicial sobre LLM agents en negociación financiero y muestran que la conversación académica se ha desplazado desde la simple explotación de sentimiento textual hacia arquitecturas más complejas, con memoria, reflexión, integración de múltiples fuentes y uso de herramientas externas. El interés de esta línea es evidente: los LLM permiten trabajar con información no estructurada, razonar en lenguaje natural y coordinar subtareas de investigación financiera que antes aparecían separadas.</w:t>
      </w:r>
    </w:p>
    <w:p>
      <w:pPr/>
      <w:r>
        <w:t>El survey de Dong et al. (2025), publicado en Findings of EMNLP, amplía esa imagen con un enfoque más cercano a la práctica institucional. Los autores proponen una taxonomía funcional de cinco dominios —Data Analysis, Investment Research, negociación, Investment Management y gestión de riesgos— y revisan más de treinta bancos de pruebas y veinte modelos representativos. Su conclusión no es triunfalista: aunque el área avanza rápido, persisten problemas de razonamiento numérico, sensibilidad al prompting, limitada adaptabilidad en tiempo real y falta de alineación con restricciones institucionales y regulatorias.</w:t>
      </w:r>
    </w:p>
    <w:p>
      <w:pPr/>
      <w:r>
        <w:t>Esta cautela también aparece en el plano regulatorio y metodológico. El informe de ESMA, elaborado junto al Alan Turing Institute y al Institut Louis Bachelier (ESMA, 2025), no niega el potencial de los LLM en finanzas, pero insiste en una adopción responsable y en la necesidad de prestar atención a gobernanza, privacidad, dependencia de datos, robustez y auditoría. En paralelo, Nguyen y Pham (2026) argumentan que los sistemas multiagente basados en LLM han crecido más rápido que sus estándares de validación y documentan fallos de evaluación particularmente serios —look-ahead bias, survivorship bias, sobreajuste en prueba retrospectiva, omisión de costes de transacción y ceguera a cambios de régimen— capaces de revertir el signo de los retornos reportados.</w:t>
      </w:r>
    </w:p>
    <w:p>
      <w:pPr/>
      <w:r>
        <w:t>Por tanto, el avance hacia agentes de inversión plenamente autónomos no elimina la necesidad de propuestas más acotadas. Al contrario, refuerza la conveniencia de capas intermedias y auditables. Un sistema de alertas por noticias como el que aquí se plantea puede beneficiarse de los avances recientes en NLP y LLM, pero sin asumir el coste metodológico y experimental de validar un agente de negociación completo. Esa es precisamente una de las razones por las que este TFM se sitúa deliberadamente entre el robo-advisor clásico y el agente financiero autónomo.</w:t>
      </w:r>
    </w:p>
    <w:p/>
    <w:p>
      <w:pPr/>
      <w:r>
        <w:t>2.2.2. Síntesis del estado de la cuestión sobre sistemas existentes</w:t>
      </w:r>
    </w:p>
    <w:p>
      <w:pPr/>
      <w:r>
        <w:t>La Tabla 1 resume, de forma comparativa, las principales familias de soluciones ya existentes y su relación con la propuesta del TFM.</w:t>
      </w:r>
    </w:p>
    <w:p>
      <w:pPr/>
      <w:r>
        <w:t>La tabla pone de manifiesto que la propuesta del TFM no compite frontalmente con una sola de estas familias, sino que integra elementos de varias: adopta la lógica de personalización de los robo-advisors, toma del NLP financiero sus mecanismos de extracción de señal, se mantiene prudente frente a la complejidad de los agentes basados en LLM y se relaciona con la optimización de carteras como un mecanismo posterior de decisión.</w:t>
      </w:r>
    </w:p>
    <w:p/>
    <w:p>
      <w:pPr/>
      <w:r>
        <w:t>Tabla 1. Comparativa de las principales familias de soluciones existentes y su relación con el sistema propuesto.</w:t>
      </w:r>
    </w:p>
    <w:tbl>
      <w:tblPr>
        <w:tblStyle w:val="Tablaconcuadrcula"/>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Familia</w:t>
            </w:r>
          </w:p>
        </w:tc>
        <w:tc>
          <w:tcPr>
            <w:tcW w:type="dxa" w:w="1512"/>
          </w:tcPr>
          <w:p>
            <w:r>
              <w:rPr>
                <w:b/>
              </w:rPr>
              <w:t>Objetivo principal</w:t>
            </w:r>
          </w:p>
        </w:tc>
        <w:tc>
          <w:tcPr>
            <w:tcW w:type="dxa" w:w="1512"/>
          </w:tcPr>
          <w:p>
            <w:r>
              <w:rPr>
                <w:b/>
              </w:rPr>
              <w:t>Entrada típica</w:t>
            </w:r>
          </w:p>
        </w:tc>
        <w:tc>
          <w:tcPr>
            <w:tcW w:type="dxa" w:w="1512"/>
          </w:tcPr>
          <w:p>
            <w:r>
              <w:rPr>
                <w:b/>
              </w:rPr>
              <w:t>Fortalezas</w:t>
            </w:r>
          </w:p>
        </w:tc>
        <w:tc>
          <w:tcPr>
            <w:tcW w:type="dxa" w:w="1512"/>
          </w:tcPr>
          <w:p>
            <w:r>
              <w:rPr>
                <w:b/>
              </w:rPr>
              <w:t>Limitaciones</w:t>
            </w:r>
          </w:p>
        </w:tc>
        <w:tc>
          <w:tcPr>
            <w:tcW w:type="dxa" w:w="1512"/>
          </w:tcPr>
          <w:p>
            <w:r>
              <w:rPr>
                <w:b/>
              </w:rPr>
              <w:t>Relación con este TFM</w:t>
            </w:r>
          </w:p>
        </w:tc>
      </w:tr>
      <w:tr>
        <w:tc>
          <w:tcPr>
            <w:tcW w:type="dxa" w:w="1512"/>
          </w:tcPr>
          <w:p>
            <w:r>
              <w:t>Robo-advisors clásicos</w:t>
            </w:r>
          </w:p>
        </w:tc>
        <w:tc>
          <w:tcPr>
            <w:tcW w:type="dxa" w:w="1512"/>
          </w:tcPr>
          <w:p>
            <w:r>
              <w:t>Perfilado, asignación y rebalanceo</w:t>
            </w:r>
          </w:p>
        </w:tc>
        <w:tc>
          <w:tcPr>
            <w:tcW w:type="dxa" w:w="1512"/>
          </w:tcPr>
          <w:p>
            <w:r>
              <w:t>Cuestionarios, precios, restricciones de cartera</w:t>
            </w:r>
          </w:p>
        </w:tc>
        <w:tc>
          <w:tcPr>
            <w:tcW w:type="dxa" w:w="1512"/>
          </w:tcPr>
          <w:p>
            <w:r>
              <w:t>Escalabilidad, bajo coste, disciplina de asignación</w:t>
            </w:r>
          </w:p>
        </w:tc>
        <w:tc>
          <w:tcPr>
            <w:tcW w:type="dxa" w:w="1512"/>
          </w:tcPr>
          <w:p>
            <w:r>
              <w:t>Poca lectura de texto y baja sensibilidad a eventos informativos</w:t>
            </w:r>
          </w:p>
        </w:tc>
        <w:tc>
          <w:tcPr>
            <w:tcW w:type="dxa" w:w="1512"/>
          </w:tcPr>
          <w:p>
            <w:r>
              <w:t>Antecedente directo en personalización financiera, pero no resuelve el filtrado de noticias</w:t>
            </w:r>
          </w:p>
        </w:tc>
      </w:tr>
      <w:tr>
        <w:tc>
          <w:tcPr>
            <w:tcW w:type="dxa" w:w="1512"/>
          </w:tcPr>
          <w:p>
            <w:r>
              <w:t>Robo-advisory orientado a diseño y confianza</w:t>
            </w:r>
          </w:p>
        </w:tc>
        <w:tc>
          <w:tcPr>
            <w:tcW w:type="dxa" w:w="1512"/>
          </w:tcPr>
          <w:p>
            <w:r>
              <w:t>Mejorar adopción, UX y legitimidad</w:t>
            </w:r>
          </w:p>
        </w:tc>
        <w:tc>
          <w:tcPr>
            <w:tcW w:type="dxa" w:w="1512"/>
          </w:tcPr>
          <w:p>
            <w:r>
              <w:t>Preferencias de usuario, atributos de interfaz, confianza</w:t>
            </w:r>
          </w:p>
        </w:tc>
        <w:tc>
          <w:tcPr>
            <w:tcW w:type="dxa" w:w="1512"/>
          </w:tcPr>
          <w:p>
            <w:r>
              <w:t>Aclara requisitos de adopción y explicabilidad</w:t>
            </w:r>
          </w:p>
        </w:tc>
        <w:tc>
          <w:tcPr>
            <w:tcW w:type="dxa" w:w="1512"/>
          </w:tcPr>
          <w:p>
            <w:r>
              <w:t>Menor foco en señal de mercado y procesamiento textual</w:t>
            </w:r>
          </w:p>
        </w:tc>
        <w:tc>
          <w:tcPr>
            <w:tcW w:type="dxa" w:w="1512"/>
          </w:tcPr>
          <w:p>
            <w:r>
              <w:t>Aporta criterios de diseño para la interfaz y la trazabilidad de alertas</w:t>
            </w:r>
          </w:p>
        </w:tc>
      </w:tr>
      <w:tr>
        <w:tc>
          <w:tcPr>
            <w:tcW w:type="dxa" w:w="1512"/>
          </w:tcPr>
          <w:p>
            <w:r>
              <w:t>NLP financiero clásico</w:t>
            </w:r>
          </w:p>
        </w:tc>
        <w:tc>
          <w:tcPr>
            <w:tcW w:type="dxa" w:w="1512"/>
          </w:tcPr>
          <w:p>
            <w:r>
              <w:t>Sentimiento, clasificación, predicción</w:t>
            </w:r>
          </w:p>
        </w:tc>
        <w:tc>
          <w:tcPr>
            <w:tcW w:type="dxa" w:w="1512"/>
          </w:tcPr>
          <w:p>
            <w:r>
              <w:t>Noticias, informes, redes sociales, filings</w:t>
            </w:r>
          </w:p>
        </w:tc>
        <w:tc>
          <w:tcPr>
            <w:tcW w:type="dxa" w:w="1512"/>
          </w:tcPr>
          <w:p>
            <w:r>
              <w:t>Extrae señal de texto y ofrece baselines robustos</w:t>
            </w:r>
          </w:p>
        </w:tc>
        <w:tc>
          <w:tcPr>
            <w:tcW w:type="dxa" w:w="1512"/>
          </w:tcPr>
          <w:p>
            <w:r>
              <w:t>A menudo evalúa tareas aisladas y no una alerta integrada por cartera</w:t>
            </w:r>
          </w:p>
        </w:tc>
        <w:tc>
          <w:tcPr>
            <w:tcW w:type="dxa" w:w="1512"/>
          </w:tcPr>
          <w:p>
            <w:r>
              <w:t>Constituye el núcleo técnico de relevancia, eventos e impacto</w:t>
            </w:r>
          </w:p>
        </w:tc>
      </w:tr>
      <w:tr>
        <w:tc>
          <w:tcPr>
            <w:tcW w:type="dxa" w:w="1512"/>
          </w:tcPr>
          <w:p>
            <w:r>
              <w:t>Agentes LLM financieros</w:t>
            </w:r>
          </w:p>
        </w:tc>
        <w:tc>
          <w:tcPr>
            <w:tcW w:type="dxa" w:w="1512"/>
          </w:tcPr>
          <w:p>
            <w:r>
              <w:t>Investigación, razonamiento y decisión asistida o autónoma</w:t>
            </w:r>
          </w:p>
        </w:tc>
        <w:tc>
          <w:tcPr>
            <w:tcW w:type="dxa" w:w="1512"/>
          </w:tcPr>
          <w:p>
            <w:r>
              <w:t>Texto, series temporales, herramientas externas</w:t>
            </w:r>
          </w:p>
        </w:tc>
        <w:tc>
          <w:tcPr>
            <w:tcW w:type="dxa" w:w="1512"/>
          </w:tcPr>
          <w:p>
            <w:r>
              <w:t>Gran flexibilidad y cobertura de tareas</w:t>
            </w:r>
          </w:p>
        </w:tc>
        <w:tc>
          <w:tcPr>
            <w:tcW w:type="dxa" w:w="1512"/>
          </w:tcPr>
          <w:p>
            <w:r>
              <w:t>Coste, evaluación frágil, riesgos de gobernanza y fuga temporal</w:t>
            </w:r>
          </w:p>
        </w:tc>
        <w:tc>
          <w:tcPr>
            <w:tcW w:type="dxa" w:w="1512"/>
          </w:tcPr>
          <w:p>
            <w:r>
              <w:t>Representan la frontera del campo, pero exceden el alcance prudente del TFM</w:t>
            </w:r>
          </w:p>
        </w:tc>
      </w:tr>
      <w:tr>
        <w:tc>
          <w:tcPr>
            <w:tcW w:type="dxa" w:w="1512"/>
          </w:tcPr>
          <w:p>
            <w:r>
              <w:t>Herramientas de optimización de cartera</w:t>
            </w:r>
          </w:p>
        </w:tc>
        <w:tc>
          <w:tcPr>
            <w:tcW w:type="dxa" w:w="1512"/>
          </w:tcPr>
          <w:p>
            <w:r>
              <w:t>Asignación de pesos y control de riesgo</w:t>
            </w:r>
          </w:p>
        </w:tc>
        <w:tc>
          <w:tcPr>
            <w:tcW w:type="dxa" w:w="1512"/>
          </w:tcPr>
          <w:p>
            <w:r>
              <w:t>Retornos, covarianzas, restricciones, views</w:t>
            </w:r>
          </w:p>
        </w:tc>
        <w:tc>
          <w:tcPr>
            <w:tcW w:type="dxa" w:w="1512"/>
          </w:tcPr>
          <w:p>
            <w:r>
              <w:t>Conectan información con decisiones de cartera</w:t>
            </w:r>
          </w:p>
        </w:tc>
        <w:tc>
          <w:tcPr>
            <w:tcW w:type="dxa" w:w="1512"/>
          </w:tcPr>
          <w:p>
            <w:r>
              <w:t>No priorizan información textual por sí mismas</w:t>
            </w:r>
          </w:p>
        </w:tc>
        <w:tc>
          <w:tcPr>
            <w:tcW w:type="dxa" w:w="1512"/>
          </w:tcPr>
          <w:p>
            <w:r>
              <w:t>Marco complementario para traducir alertas en revisiones tácticas</w:t>
            </w:r>
          </w:p>
        </w:tc>
      </w:tr>
    </w:tbl>
    <w:p/>
    <w:p/>
    <w:p>
      <w:pPr/>
      <w:r>
        <w:t>2.2.3. Del análisis de sentimiento al modelado semántico del evento</w:t>
      </w:r>
    </w:p>
    <w:p>
      <w:pPr/>
      <w:r>
        <w:t>El procesamiento del lenguaje natural en finanzas ha pasado en pocos años de ser un campo relativamente especializado a convertirse en una infraestructura transversal para la extracción de señal desde datos no estructurados. Du, Zhao, Mao, Xing y Cambria (2025) sintetizan esta evolución en diez grandes áreas de aplicación, entre ellas el análisis de sentimiento, el predicción basado en lenguaje, la gestión de carteras, el cumplimiento normativo, la gestión de riesgos, el question answering y la explicabilidad. Su revisión es importante porque sitúa el texto financiero no como una variable auxiliar, sino como un insumo central de decisión.</w:t>
      </w:r>
    </w:p>
    <w:p>
      <w:pPr/>
      <w:r>
        <w:t>Durante mucho tiempo, la puerta de entrada principal al área fue el análisis de sentimiento. El objetivo consistía en estimar si un texto financiero contenía una polaridad positiva, negativa o neutral, y usar esa señal para explicar o anticipar movimientos de mercado. Araci (2019), con FinBERT, marcó un hito al mostrar que el preentrenamiento y ajuste en dominio financiero mejora de forma clara el rendimiento sobre conjunto(s) de datos de sentimiento especializados. Desde entonces, el sentimiento se ha mantenido como baseline casi obligatorio en la literatura aplicada.</w:t>
      </w:r>
    </w:p>
    <w:p>
      <w:pPr/>
      <w:r>
        <w:t>Sin embargo, el propio desarrollo del área ha mostrado los límites de esta representación simplificada. No todas las noticias negativas tienen el mismo mecanismo causal ni la misma persistencia económica. Una sanción regulatoria, una rebaja de guidance, un litigio laboral, una interrupción de suministro o un ciberincidente pueden compartir una tonalidad global negativa y, aun así, implicar dinámicas muy distintas para el precio, la volatilidad y el riesgo reputacional. Por ello, el avance natural del campo ha sido desplazarse desde la mera polaridad hacia representaciones más estructuradas del contenido, especialmente extracción de entidades, clasificación temática y detección de eventos.</w:t>
      </w:r>
    </w:p>
    <w:p>
      <w:pPr/>
      <w:r>
        <w:t>Esta transición también se observa en los bancos de pruebas. Shah et al. (2022) proponen FLUE como una suite heterogénea de evaluación para lenguaje financiero, precisamente para superar la tendencia a evaluar modelos solo en una tarea aislada. Ahrens, Gorduza y McMahon (2025), con EcoFinBench, van un paso más allá y sostienen que el dominio económico-financiero necesita bancos de pruebas que combinen texto y contexto numérico. Sus resultados son especialmente reveladores porque muestran que los diccionarios financieros tradicionales, aún muy usados como método por defecto, rinden sustancialmente peor que otras alternativas y que los transformers funcionan bien en clasificación textual, pero todavía presentan dificultades cuando la tarea exige combinar lenguaje y metadatos numéricos.</w:t>
      </w:r>
    </w:p>
    <w:p/>
    <w:p>
      <w:pPr/>
      <w:r>
        <w:t>2.2.4. Conjuntos de datos, bancos de pruebas y extracción de eventos financieros</w:t>
      </w:r>
    </w:p>
    <w:p>
      <w:pPr/>
      <w:r>
        <w:t>Una de las conclusiones más relevantes de la literatura reciente es que el progreso en NLP financiero depende en gran medida de la calidad de los datos y de la disponibilidad de bancos de pruebas especializados. Durante años, gran parte de la investigación se apoyó en conjuntos relativamente pequeños de sentimiento o en conjunto(s) de datos creados para una sola tarea. La situación está cambiando, pero no de forma uniforme.</w:t>
      </w:r>
    </w:p>
    <w:p>
      <w:pPr/>
      <w:r>
        <w:t>Por un lado, trabajos como FNSPID muestran la importancia de los conjunto(s) de datos a gran escala y temporalmente alineados. Dong et al. (2024) presentan un conjunto de datos que integra 29,7 millones de registros de precios y 15,7 millones de noticias financieras alineadas en el tiempo para 4.775 compañías del S&amp;P 500 entre 1999 y 2023. Más allá del tamaño, el interés de FNSPID reside en su orientación multimodal y en que permite conectar texto, tiempo y mercado, algo muy útil para diseñar experimentos cercanos al objetivo de este TFM.</w:t>
      </w:r>
    </w:p>
    <w:p>
      <w:pPr/>
      <w:r>
        <w:t>Por otro lado, cuando el interés se desplaza desde sentimiento hacia eventos, el problema se vuelve más exigente. Jacobs et al. (2020) muestran que en noticias económicas y financieras de compañía los disparadores de evento de un solo token(es) suelen ser insuficientes para diferenciar clases finas de eventos, precisamente porque existe un fuerte solapamiento léxico y contextual. Esa observación es clave: en finanzas, la semántica del evento no puede recuperarse solo mediante palabras ancla simples.</w:t>
      </w:r>
    </w:p>
    <w:p>
      <w:pPr/>
      <w:r>
        <w:t>En esa misma línea, Jacobs y Hoste (2022) introducen SENTiVENT como un corpus de eventos específicos de compañía en noticias económicas en inglés y subrayan la escasez de recursos manualmente anotados para extracción de eventos en este dominio. Desde la perspectiva del TFM, esta literatura sugiere dos consecuencias metodológicas muy claras: primero, que conviene trabajar con una taxonomía de eventos razonablemente acotada y útil para la inversión; y segundo, que habrá que combinar etiquetado manual con estrategias de baseline robustas, en lugar de asumir que existen conjunto(s) de datos perfectamente ajustados al problema propuesto.</w:t>
      </w:r>
    </w:p>
    <w:p/>
    <w:p>
      <w:pPr/>
      <w:r>
        <w:t>2.2.5. Relevancia contextual: por qué la cartera cambia el problema</w:t>
      </w:r>
    </w:p>
    <w:p>
      <w:pPr/>
      <w:r>
        <w:t>Una de las aportaciones conceptuales más importantes del presente trabajo es introducir la cartera como condicionante de la relevancia. En buena parte de la literatura de NLP financiero, la pregunta dominante es si un texto expresa un sentimiento o pertenece a una categoría. En cambio, aquí la pregunta es distinta: ¿afecta esta noticia a los activos que mantiene el usuario? Esa reformulación desplaza el problema desde la clasificación general del texto hacia la relevancia contextualizada por exposición.</w:t>
      </w:r>
    </w:p>
    <w:p>
      <w:pPr/>
      <w:r>
        <w:t>Du et al. (2025) ya señalan que el NLP financiero abarca aplicaciones tan diferentes como predicción, gestión de riesgos, gestión de carteras o cumplimiento normativo. Lo que esta amplitud revela es que la utilidad del texto depende del objetivo operativo. En un sistema de alertas para carteras, la relevancia no puede derivarse solo de la intensidad emocional del titular. Requiere identificar entidades, mapearlas a activos o sectores, y valorar también relaciones indirectas: regulación sobre un sector, shocks geográficos, dependencia de materias primas o riesgo en cadena de suministro.</w:t>
      </w:r>
    </w:p>
    <w:p>
      <w:pPr/>
      <w:r>
        <w:t>Ahrens et al. (2025) refuerzan esta idea cuando argumentan que el sentido de una afirmación económica o financiera puede depender del contexto numérico y macroeconómico que la acompaña. Trasladado al TFM, esto implica que la relevancia debería modelarse de forma híbrida: reglas y correspondencias directas para menciones explícitas, pero también representaciones vectoriales densas (embeddings, término adoptado de forma generalizada en la comunidad investigadora al no existir un equivalente consolidado en español; véase Mikolov et al., 2013; Reimers y Gurevych, 2019) o similitud semántica para capturar dependencias menos obvias. La cartera, por tanto, no es un añadido superficial; es el eje que reordena el problema completo.</w:t>
      </w:r>
    </w:p>
    <w:p/>
    <w:p>
      <w:pPr/>
      <w:r>
        <w:t>2.2.6. Noticias, reacción del mercado y límites de inferencia</w:t>
      </w:r>
    </w:p>
    <w:p>
      <w:pPr/>
      <w:r>
        <w:t>Una cuestión fundamental para el TFM es si las noticias financieras contienen información con capacidad de mover precios o, al menos, de ayudar a identificar eventos materialmente relevantes. La evidencia empírica sugiere una respuesta matizada. Aït-Sahalia, Li y Li (2024) estudian saltos de precios de alta frecuencia y noticias idiosincráticas, sectoriales y macroeconómicas, encontrando que la mayoría de noticias realmente relevantes se incorpora con rapidez al precio. Pero también muestran la cara menos cómoda del problema: la mayor parte de los saltos de precio no puede explicarse mediante una noticia pública identificable.</w:t>
      </w:r>
    </w:p>
    <w:p>
      <w:pPr/>
      <w:r>
        <w:t>Esta doble conclusión tiene implicaciones metodológicas directas. Primero, justifica el interés de monitorizar noticias y fuentes primarias, porque sí contienen señal económicamente útil. Segundo, obliga a evitar cualquier planteamiento ingenuamente causal del tipo 'titular negativo = caída de precio'. La relación entre texto y mercado es real, pero incompleta, no determinista y muy dependiente del tipo de evento, del horizonte temporal y del contexto.</w:t>
      </w:r>
    </w:p>
    <w:p>
      <w:pPr/>
      <w:r>
        <w:t>Además, la propia metodología de event study ha sido objeto de revisiones críticas recientes. Goldsmith-Pinkham y Lyu (2025) muestran que los estudios de evento financieros tradicionales pueden ofrecer estimaciones inconsistentes cuando el modelo de factores está mal especificado, especialmente en periodos volátiles, en horizontes largos o cuando la ocurrencia del evento se correlaciona con condiciones del mercado. Esta advertencia no invalida el uso de event studies en el TFM, pero sí recomienda prudencia: para la evaluación financiera del sistema será preferible trabajar con ventanas temporales cortas, supuestos explícitos y comparaciones frente a baselines simples, antes que sobrerreivindicar causalidad.</w:t>
      </w:r>
    </w:p>
    <w:p/>
    <w:p>
      <w:pPr/>
      <w:r>
        <w:t>2.2.7. Análisis comparativo de trabajos previos</w:t>
      </w:r>
    </w:p>
    <w:p>
      <w:pPr/>
      <w:r>
        <w:t>Tras revisar las principales corrientes de literatura, puede sostenerse que los trabajos previos no fallan por falta de calidad, sino por su especialización parcial. Cada subcampo resuelve con eficacia una parte del problema, pero rara vez articula una solución integrada orientada a una cartera concreta. Esta fragmentación es especialmente visible cuando se comparan las finalidades, entradas, salidas y criterios de evaluación de cada familia de trabajos.</w:t>
      </w:r>
    </w:p>
    <w:p>
      <w:pPr/>
      <w:r>
        <w:t>Los robo-advisors tradicionales destacan en la automatización del consejo, pero no están diseñados para convertir noticias en alertas individualizadas por posición. Los trabajos de diseño y adopción mejoran la comprensión de la interacción humano-sistema, pero no extraen señal de mercado desde texto. El NLP financiero ofrece herramientas potentes para leer y clasificar información no estructurada, aunque a menudo se queda en tareas parciales. Los agentes LLM, por su parte, prometen una integración muy amplia, pero a costa de mayores exigencias de validación, gobernanza y coste computacional.</w:t>
      </w:r>
    </w:p>
    <w:p>
      <w:pPr/>
      <w:r>
        <w:t>Desde el punto de vista del input, también hay una diferencia clara. Los robo-advisors clásicos operan sobre datos estructurados y relativamente estables; el NLP financiero y los agentes LLM explotan textos, resúmenes y documentos no estructurados. Sin embargo, incluso dentro de estas últimas líneas, no siempre se distingue entre noticias relevantes para el mercado en general y noticias relevantes para una cartera dada. Esta distinción es central para el TFM porque permite pasar de un análisis genérico del flujo informativo a una inteligencia situada y personalizada.</w:t>
      </w:r>
    </w:p>
    <w:p>
      <w:pPr/>
      <w:r>
        <w:t>En cuanto a la salida, la fragmentación es aún más visible. La mayoría de los estudios en sentimiento producen scores de polaridad; los estudios de clasificación producen etiquetas; los trabajos sobre agents generan recomendaciones, resúmenes o decisiones simuladas. En cambio, el caso de uso del TFM requiere una salida distinta: una alerta priorizada, breve, trazable y suficientemente explicada como para ser útil en la práctica. Esta diferencia de interfaz y de unidad funcional es más importante de lo que parece, porque modifica también cómo debe evaluarse el sistema.</w:t>
      </w:r>
    </w:p>
    <w:p>
      <w:pPr/>
      <w:r>
        <w:t>Para ordenar la comparación, resulta útil analizar los trabajos previos según cinco criterios: finalidad principal, tipo de información utilizada, nivel de personalización, grado de explicabilidad y estrategia de evaluación.</w:t>
      </w:r>
    </w:p>
    <w:p>
      <w:pPr/>
      <w:r>
        <w:t>Vista así, la principal conclusión comparativa es que la propuesta del TFM ocupa una posición intermedia pero no redundante. Toma del robo-advisory la lógica de personalización financiera; toma del NLP financiero los mecanismos para leer texto; recoge de la literatura reciente sobre LLM la idea de integración de módulos, pero renuncia deliberadamente a la autonomía completa para mantener un alcance y una evaluación más controlables.</w:t>
      </w:r>
    </w:p>
    <w:p>
      <w:pPr/>
      <w:r>
        <w:t>Esta posición intermedia no es un compromiso débil, sino una estrategia metodológica. Permite formular una contribución original sin prometer capacidades excesivas: no se pretende batir a un gestor profesional ni construir un trader autónomo, sino demostrar que es posible priorizar mejor la información material para una cartera real con ayuda de IA y NLP.</w:t>
      </w:r>
    </w:p>
    <w:p/>
    <w:p>
      <w:pPr/>
      <w:r>
        <w:t>Tabla 2. Comparativa de trabajos previos según cinco criterios.</w:t>
      </w:r>
    </w:p>
    <w:tbl>
      <w:tblPr>
        <w:tblStyle w:val="Tablaconcuadrcula"/>
        <w:tblW w:type="auto" w:w="0"/>
        <w:tblLook w:firstColumn="1" w:firstRow="1" w:lastColumn="0" w:lastRow="0" w:noHBand="0" w:noVBand="1" w:val="04A0"/>
      </w:tblPr>
      <w:tblGrid>
        <w:gridCol w:w="1814"/>
        <w:gridCol w:w="1814"/>
        <w:gridCol w:w="1814"/>
        <w:gridCol w:w="1814"/>
        <w:gridCol w:w="1814"/>
      </w:tblGrid>
      <w:tr>
        <w:tc>
          <w:tcPr>
            <w:tcW w:type="dxa" w:w="1814"/>
          </w:tcPr>
          <w:p>
            <w:r>
              <w:rPr>
                <w:b/>
              </w:rPr>
              <w:t>Criterio</w:t>
            </w:r>
          </w:p>
        </w:tc>
        <w:tc>
          <w:tcPr>
            <w:tcW w:type="dxa" w:w="1814"/>
          </w:tcPr>
          <w:p>
            <w:r>
              <w:rPr>
                <w:b/>
              </w:rPr>
              <w:t>Robo-advisors</w:t>
            </w:r>
          </w:p>
        </w:tc>
        <w:tc>
          <w:tcPr>
            <w:tcW w:type="dxa" w:w="1814"/>
          </w:tcPr>
          <w:p>
            <w:r>
              <w:rPr>
                <w:b/>
              </w:rPr>
              <w:t>NLP financiero</w:t>
            </w:r>
          </w:p>
        </w:tc>
        <w:tc>
          <w:tcPr>
            <w:tcW w:type="dxa" w:w="1814"/>
          </w:tcPr>
          <w:p>
            <w:r>
              <w:rPr>
                <w:b/>
              </w:rPr>
              <w:t>Agentes LLM</w:t>
            </w:r>
          </w:p>
        </w:tc>
        <w:tc>
          <w:tcPr>
            <w:tcW w:type="dxa" w:w="1814"/>
          </w:tcPr>
          <w:p>
            <w:r>
              <w:rPr>
                <w:b/>
              </w:rPr>
              <w:t>Implicación para el TFM</w:t>
            </w:r>
          </w:p>
        </w:tc>
      </w:tr>
      <w:tr>
        <w:tc>
          <w:tcPr>
            <w:tcW w:type="dxa" w:w="1814"/>
          </w:tcPr>
          <w:p>
            <w:r>
              <w:t>Finalidad</w:t>
            </w:r>
          </w:p>
        </w:tc>
        <w:tc>
          <w:tcPr>
            <w:tcW w:type="dxa" w:w="1814"/>
          </w:tcPr>
          <w:p>
            <w:r>
              <w:t>Asignación y rebalanceo</w:t>
            </w:r>
          </w:p>
        </w:tc>
        <w:tc>
          <w:tcPr>
            <w:tcW w:type="dxa" w:w="1814"/>
          </w:tcPr>
          <w:p>
            <w:r>
              <w:t>Extraer señal de texto</w:t>
            </w:r>
          </w:p>
        </w:tc>
        <w:tc>
          <w:tcPr>
            <w:tcW w:type="dxa" w:w="1814"/>
          </w:tcPr>
          <w:p>
            <w:r>
              <w:t>Razonar, investigar o decidir</w:t>
            </w:r>
          </w:p>
        </w:tc>
        <w:tc>
          <w:tcPr>
            <w:tcW w:type="dxa" w:w="1814"/>
          </w:tcPr>
          <w:p>
            <w:r>
              <w:t>Generar alertas accionables sin automatizar la decisión final</w:t>
            </w:r>
          </w:p>
        </w:tc>
      </w:tr>
      <w:tr>
        <w:tc>
          <w:tcPr>
            <w:tcW w:type="dxa" w:w="1814"/>
          </w:tcPr>
          <w:p>
            <w:r>
              <w:t>Entrada</w:t>
            </w:r>
          </w:p>
        </w:tc>
        <w:tc>
          <w:tcPr>
            <w:tcW w:type="dxa" w:w="1814"/>
          </w:tcPr>
          <w:p>
            <w:r>
              <w:t>Datos estructurados</w:t>
            </w:r>
          </w:p>
        </w:tc>
        <w:tc>
          <w:tcPr>
            <w:tcW w:type="dxa" w:w="1814"/>
          </w:tcPr>
          <w:p>
            <w:r>
              <w:t>Noticias, informes, filings</w:t>
            </w:r>
          </w:p>
        </w:tc>
        <w:tc>
          <w:tcPr>
            <w:tcW w:type="dxa" w:w="1814"/>
          </w:tcPr>
          <w:p>
            <w:r>
              <w:t>Texto + herramientas + datos de mercado</w:t>
            </w:r>
          </w:p>
        </w:tc>
        <w:tc>
          <w:tcPr>
            <w:tcW w:type="dxa" w:w="1814"/>
          </w:tcPr>
          <w:p>
            <w:r>
              <w:t>Flujo textual fiable + cartera del usuario + metadatos</w:t>
            </w:r>
          </w:p>
        </w:tc>
      </w:tr>
      <w:tr>
        <w:tc>
          <w:tcPr>
            <w:tcW w:type="dxa" w:w="1814"/>
          </w:tcPr>
          <w:p>
            <w:r>
              <w:t>Personalización</w:t>
            </w:r>
          </w:p>
        </w:tc>
        <w:tc>
          <w:tcPr>
            <w:tcW w:type="dxa" w:w="1814"/>
          </w:tcPr>
          <w:p>
            <w:r>
              <w:t>Perfil de riesgo e horizonte</w:t>
            </w:r>
          </w:p>
        </w:tc>
        <w:tc>
          <w:tcPr>
            <w:tcW w:type="dxa" w:w="1814"/>
          </w:tcPr>
          <w:p>
            <w:r>
              <w:t>Frecuentemente baja o a nivel de activo</w:t>
            </w:r>
          </w:p>
        </w:tc>
        <w:tc>
          <w:tcPr>
            <w:tcW w:type="dxa" w:w="1814"/>
          </w:tcPr>
          <w:p>
            <w:r>
              <w:t>Potencialmente alta, pero costosa</w:t>
            </w:r>
          </w:p>
        </w:tc>
        <w:tc>
          <w:tcPr>
            <w:tcW w:type="dxa" w:w="1814"/>
          </w:tcPr>
          <w:p>
            <w:r>
              <w:t>Alta y centrada en exposición real de cartera</w:t>
            </w:r>
          </w:p>
        </w:tc>
      </w:tr>
      <w:tr>
        <w:tc>
          <w:tcPr>
            <w:tcW w:type="dxa" w:w="1814"/>
          </w:tcPr>
          <w:p>
            <w:r>
              <w:t>Explicabilidad</w:t>
            </w:r>
          </w:p>
        </w:tc>
        <w:tc>
          <w:tcPr>
            <w:tcW w:type="dxa" w:w="1814"/>
          </w:tcPr>
          <w:p>
            <w:r>
              <w:t>Moderada, ligada a la recomendación</w:t>
            </w:r>
          </w:p>
        </w:tc>
        <w:tc>
          <w:tcPr>
            <w:tcW w:type="dxa" w:w="1814"/>
          </w:tcPr>
          <w:p>
            <w:r>
              <w:t>Variable; a menudo post hoc</w:t>
            </w:r>
          </w:p>
        </w:tc>
        <w:tc>
          <w:tcPr>
            <w:tcW w:type="dxa" w:w="1814"/>
          </w:tcPr>
          <w:p>
            <w:r>
              <w:t>Natural en lenguaje, pero no siempre fiel</w:t>
            </w:r>
          </w:p>
        </w:tc>
        <w:tc>
          <w:tcPr>
            <w:tcW w:type="dxa" w:w="1814"/>
          </w:tcPr>
          <w:p>
            <w:r>
              <w:t>Explicación operativa en cada alerta</w:t>
            </w:r>
          </w:p>
        </w:tc>
      </w:tr>
      <w:tr>
        <w:tc>
          <w:tcPr>
            <w:tcW w:type="dxa" w:w="1814"/>
          </w:tcPr>
          <w:p>
            <w:r>
              <w:t>Evaluación</w:t>
            </w:r>
          </w:p>
        </w:tc>
        <w:tc>
          <w:tcPr>
            <w:tcW w:type="dxa" w:w="1814"/>
          </w:tcPr>
          <w:p>
            <w:r>
              <w:t>Adopción y rendimiento</w:t>
            </w:r>
          </w:p>
        </w:tc>
        <w:tc>
          <w:tcPr>
            <w:tcW w:type="dxa" w:w="1814"/>
          </w:tcPr>
          <w:p>
            <w:r>
              <w:t>F1, accuracy, predicción</w:t>
            </w:r>
          </w:p>
        </w:tc>
        <w:tc>
          <w:tcPr>
            <w:tcW w:type="dxa" w:w="1814"/>
          </w:tcPr>
          <w:p>
            <w:r>
              <w:t>prueba retrospectiva y bancos de pruebas heterogéneos</w:t>
            </w:r>
          </w:p>
        </w:tc>
        <w:tc>
          <w:tcPr>
            <w:tcW w:type="dxa" w:w="1814"/>
          </w:tcPr>
          <w:p>
            <w:r>
              <w:t>Métricas NLP + utilidad financiera por event study</w:t>
            </w:r>
          </w:p>
        </w:tc>
      </w:tr>
    </w:tbl>
    <w:p/>
    <w:p>
      <w:pPr>
        <w:pStyle w:val="Ttulo2"/>
      </w:pPr>
      <w:r>
        <w:t>Conclusiones</w:t>
      </w:r>
    </w:p>
    <w:p>
      <w:pPr/>
      <w:r>
        <w:t>La literatura revisada sugiere que un sistema de alertas por noticias para carteras no debería apoyarse en una única técnica. El sentimiento puede aportar una señal útil, y modelos de dominio como FinBERT siguen siendo candidatos razonables como feature o baseline. Pero, por sí solo, el análisis de sentimiento no resuelve la identificación de materialidad. Para ello hacen falta extracción de entidades, clasificación de eventos, modelado de relevancia contextual, manejo de duplicados y una capa explícita de explicación.</w:t>
      </w:r>
    </w:p>
    <w:p>
      <w:pPr/>
      <w:r>
        <w:t>En otras palabras, el estado actual del NLP financiero no invalida la propuesta del TFM; la hace más necesaria. Ya existen piezas maduras —embeddings, modelos de dominio, bancos de pruebas, corpora de eventos y grandes conjunto(s) de datos temporales—, pero siguen estando dispersas. El reto científico interesante no consiste en inventar una técnica completamente nueva, sino en integrarlas de forma coherente alrededor de una necesidad precisa de inversión: priorizar noticias materialmente relevantes para una cartera concreta.</w:t>
      </w:r>
    </w:p>
    <w:p/>
    <w:p>
      <w:pPr/>
      <w:r>
        <w:t>La identificación de este hueco de investigación se apoya en cinco observaciones convergentes:</w:t>
      </w:r>
    </w:p>
    <w:p>
      <w:pPr/>
      <w:r>
        <w:t>El hueco de investigación identificado no consiste en la ausencia total de trabajos sobre inversión automatizada o sobre análisis de noticias financieras. Al contrario, la literatura es abundante en ambos frentes. El problema es que las contribuciones existentes aparecen desalineadas con el caso de uso exacto que aquí interesa: una cartera concreta, un flujo continuo de noticias, una priorización material del evento y una salida final en forma de alerta explicable.</w:t>
      </w:r>
    </w:p>
    <w:p>
      <w:pPr/>
      <w:r>
        <w:t>Primero, existe una brecha de integración. Los estudios sobre robo-advisors han avanzado en automatización del consejo; los trabajos de NLP financiero han refinado el análisis de sentimiento, de entidades y de eventos; la literatura de agentes LLM explora arquitecturas más ambiciosas. Pero rara vez estas piezas se ensamblan en un sistema orientado a responder, de manera simultánea, a cuatro preguntas fundamentales para el inversor: si la noticia le afecta, qué evento ha ocurrido, con qué severidad probable podría impactar y por qué merece una alerta.</w:t>
      </w:r>
    </w:p>
    <w:p>
      <w:pPr/>
      <w:r>
        <w:t>Segundo, persiste una carencia de personalización por cartera. Aunque los robo-advisors personalizan la asignación y algunos trabajos de NLP se centran en empresas concretas, el uso de la cartera como eje de relevancia sigue siendo comparativamente menos frecuente. El proyecto propuesto introduce precisamente esta dimensión: la noticia deja de ser importante en abstracto y pasa a evaluarse según la exposición real del usuario.</w:t>
      </w:r>
    </w:p>
    <w:p>
      <w:pPr/>
      <w:r>
        <w:t>Tercero, el sentimiento sigue ocupando un lugar demasiado central en parte de la literatura aplicada. El problema no es que el sentimiento sea inútil; el problema es tratarlo como representación suficiente del impacto. El hueco, por tanto, no está en construir otro clasificador positivo/negativo, sino en combinar polaridad, evento, materialidad, fuente, corroboración y novedad dentro de un sistema más cercano a la lógica de decisión del inversor.</w:t>
      </w:r>
    </w:p>
    <w:p>
      <w:pPr/>
      <w:r>
        <w:t>Cuarto, existe un déficit de explicabilidad operativa. La literatura sobre confianza en robo-advisors y la regulación emergente sobre IA en finanzas apuntan a que las salidas opacas limitan la adopción real. El hueco no es solo técnico, sino también de interfaz: faltan propuestas que conviertan la inferencia del modelo en una alerta corta, comprensible y justificable.</w:t>
      </w:r>
    </w:p>
    <w:p>
      <w:pPr/>
      <w:r>
        <w:t>Quinto, la evaluación sigue fragmentada. Muchos trabajos miden F1 o accuracy; otros miden retornos simulados; pocos combinan ambos planos de forma explícita. En este TFM, el hueco se aborda mediante una evaluación dual: por un lado, desempeño lingüístico por módulos; por otro, utilidad financiera aproximada mediante event studies comparados con baselines simples.</w:t>
      </w:r>
    </w:p>
    <w:p>
      <w:pPr/>
      <w:r>
        <w:t>Estas conclusiones configuran el hueco de investigación al que responde el presente trabajo y fundamentan los objetivos que se formulan en el capítulo siguiente.</w:t>
      </w:r>
    </w:p>
    <w:p>
      <w:r>
        <w:br w:type="page"/>
      </w:r>
    </w:p>
    <w:p>
      <w:pPr>
        <w:pStyle w:val="Ttulo1"/>
      </w:pPr>
      <w:r>
        <w:t>Objetivos concretos y metodología de trabajo</w:t>
      </w:r>
    </w:p>
    <w:p>
      <w:pPr/>
      <w:r>
        <w:t>Este capítulo formula los objetivos del trabajo y describe la metodología seguida para alcanzarlos. Los objetivos se plantean siguiendo el criterio SMART (Doran, 1981): específicos, medibles, alcanzables, relevantes y temporalmente acotados.</w:t>
      </w:r>
    </w:p>
    <w:p>
      <w:pPr>
        <w:pStyle w:val="Ttulo2"/>
      </w:pPr>
      <w:r>
        <w:t>Objetivo general</w:t>
      </w:r>
    </w:p>
    <w:p>
      <w:pPr/>
      <w:r>
        <w:t>Diseñar, implementar y evaluar un sistema de alertas inteligentes por noticias financieras que, dado un flujo heterogéneo de fuentes textuales y una cartera de inversión declarada por el usuario, detecte eventos materialmente relevantes, estime la dirección y severidad de su impacto, y genere alertas explicables con control de ruido y trazabilidad de fuente, alcanzando un F1 superior a 0,80 en la detección de relevancia sobre un corpus de evaluación etiquetado manualmente.</w:t>
      </w:r>
    </w:p>
    <w:p>
      <w:pPr>
        <w:pStyle w:val="Ttulo2"/>
      </w:pPr>
      <w:r>
        <w:t>Objetivos específicos</w:t>
      </w:r>
    </w:p>
    <w:p>
      <w:pPr/>
      <w:r>
        <w:t>El objetivo general se descompone en los siguientes objetivos específicos:</w:t>
      </w:r>
    </w:p>
    <w:p>
      <w:pPr>
        <w:pStyle w:val="Prrafodelista"/>
      </w:pPr>
      <w:r>
        <w:t>OE1. Revisar y sintetizar el estado de la cuestión sobre robo-advisors, procesamiento de lenguaje natural financiero, extracción de eventos y agentes basados en modelos de lenguaje de gran escala, identificando el hueco de investigación que justifica la integración propuesta.</w:t>
      </w:r>
    </w:p>
    <w:p>
      <w:pPr>
        <w:pStyle w:val="Prrafodelista"/>
      </w:pPr>
      <w:r>
        <w:t>OE2. Diseñar e implementar una cadena de procesamiento modular de ingesta, preprocesado y enriquecimiento de noticias financieras procedentes de fuentes heterogéneas (sindicación realmente simple (RSS, por sus siglas en inglés), interfaz de programación de aplicaciones (interfaz de programación de aplicaciones (API, por sus siglas en inglés), por sus siglas en inglés) de la Comisión de Bolsa y Valores de Estados Unidos (SEC, por sus siglas en inglés) EDGAR, Comisión Nacional del Mercado de Valores (CNMV), NewsAPI), con detección de idioma, traducción automática y reconocimiento de entidades nombradas (reconocimiento de entidades nombradas (NER, por sus siglas en inglés), por sus siglas en inglés).</w:t>
      </w:r>
    </w:p>
    <w:p>
      <w:pPr>
        <w:pStyle w:val="Prrafodelista"/>
      </w:pPr>
      <w:r>
        <w:t>OE3. Desarrollar un módulo de relevancia híbrido que combine reglas explícitas con representaciones vectoriales densas (embeddings) semánticas para evaluar la pertinencia de cada noticia en función de la composición concreta de la cartera del usuario.</w:t>
      </w:r>
    </w:p>
    <w:p>
      <w:pPr>
        <w:pStyle w:val="Prrafodelista"/>
      </w:pPr>
      <w:r>
        <w:t>OE4. Implementar la clasificación automática de eventos financieros y la estimación de impacto mediante análisis de sentimiento con FinBERT, inferencia de lenguaje natural (inferencia de lenguaje natural (NLI, por sus siglas en inglés)) y análisis contextual opcional con modelos de lenguaje de gran escala.</w:t>
      </w:r>
    </w:p>
    <w:p>
      <w:pPr>
        <w:pStyle w:val="Prrafodelista"/>
      </w:pPr>
      <w:r>
        <w:t>OE5. Construir un conjunto de datos etiquetado manualmente con al menos 40 noticias, tres carteras de referencia y etiquetas de relevancia, tipo de evento, dirección, severidad y activos afectados, que sirva como banco de pruebas reproducible para la evaluación del sistema.</w:t>
      </w:r>
    </w:p>
    <w:p>
      <w:pPr>
        <w:pStyle w:val="Prrafodelista"/>
      </w:pPr>
      <w:r>
        <w:t>OE6. Evaluar cuantitativamente el sistema mediante un estudio de ablación que compare al menos cuatro variantes de la cadena de procesamiento, midiendo precisión, exhaustividad, F1 y error absoluto medio ordinal en cada tarea.</w:t>
      </w:r>
    </w:p>
    <w:p>
      <w:pPr>
        <w:pStyle w:val="Ttulo2"/>
      </w:pPr>
      <w:r>
        <w:t>Metodología del trabajo</w:t>
      </w:r>
    </w:p>
    <w:p>
      <w:pPr/>
      <w:r>
        <w:t>La metodología se plantea como un desarrollo incremental y modular. El objetivo no es partir de una arquitectura extremadamente compleja, sino construir primero una versión mínima funcional, medible y reproducible, e ir ampliándola después. Este enfoque reduce el riesgo de bloqueo técnico, permite comparar alternativas y favorece la trazabilidad experimental.</w:t>
      </w:r>
    </w:p>
    <w:p>
      <w:pPr/>
      <w:r>
        <w:t>En términos generales, el trabajo se organizará en seis fases técnicas: definición del universo de activos y taxonomía de eventos; ingesta y almacenamiento de noticias; preprocesado y enriquecimiento NLP; modelado de relevancia por cartera; clasificación de eventos e impacto; y desarrollo del motor de alertas con posterior evaluación técnica y financiera.</w:t>
      </w:r>
    </w:p>
    <w:p>
      <w:pPr/>
      <w:r>
        <w:t>A continuación se describen las seis fases de desarrollo del sistema:</w:t>
      </w:r>
    </w:p>
    <w:p/>
    <w:p>
      <w:pPr/>
      <w:r>
        <w:t>Fase 1: Alcance experimental, activos y taxonomía de eventos</w:t>
      </w:r>
    </w:p>
    <w:p>
      <w:pPr/>
      <w:r>
        <w:t>El prototipo trabajará inicialmente con un universo limitado de acciones cotizadas y con una taxonomía de eventos manejable. La selección controlada de activos reduce complejidad y facilita el etiquetado. La taxonomía inicial podrá incluir, entre otras, categorías como resultados empresariales, guidance o profit warning, regulación, litigios, fusiones y adquisiciones, ciberincidentes, incidencias operativas, macroeconomía y cadena de suministro.</w:t>
      </w:r>
    </w:p>
    <w:p>
      <w:pPr/>
      <w:r>
        <w:t>La elección de una taxonomía no excesivamente granular responde a lo observado en la literatura de extracción de eventos: clases demasiado finas exigen recursos anotados difíciles de sostener, mientras que categorías demasiado gruesas reducen valor explicativo. El equilibrio deberá buscarse en función del corpus disponible y de la utilidad financiera esperada.</w:t>
      </w:r>
    </w:p>
    <w:p/>
    <w:p>
      <w:pPr/>
      <w:r>
        <w:t>Fase 2: Adquisición de datos y trazabilidad</w:t>
      </w:r>
    </w:p>
    <w:p>
      <w:pPr/>
      <w:r>
        <w:t>El cadena de procesamiento de ingesta se basará en RSS, APIs o páginas de relaciones con inversores con frecuencia de actualización periódica. Se almacenarán título, resumen, fecha, fuente, URL, idioma y, cuando sea viable legalmente, cuerpo del texto. El almacenamiento persistente permitirá reconstruir qué información estaba disponible en cada momento, requisito clave para evitar sesgos temporales.</w:t>
      </w:r>
    </w:p>
    <w:p>
      <w:pPr/>
      <w:r>
        <w:t>Se implementará deduplicación en dos niveles: por hash o coincidencia casi exacta y por similitud semántica para agrupar documentos distintos que describen el mismo evento. Este punto es esencial para la utilidad del sistema, ya que evita la multiplicación de alertas por replicación mediática.</w:t>
      </w:r>
    </w:p>
    <w:p/>
    <w:p>
      <w:pPr/>
      <w:r>
        <w:t>Fase 3: Preprocesado y enriquecimiento</w:t>
      </w:r>
    </w:p>
    <w:p>
      <w:pPr/>
      <w:r>
        <w:t>El texto se limpiará, normalizará y pasará por detección de idioma, tokenización y reconocimiento de entidades. Se extraerán menciones a compañías, reguladores, países, sectores, productos y otras entidades con valor financiero. Esta capa servirá tanto para el cálculo de relevancia como para la explicación final.</w:t>
      </w:r>
    </w:p>
    <w:p>
      <w:pPr/>
      <w:r>
        <w:t>Además del texto, se conservarán metadatos como antigüedad de la noticia, número de fuentes corroborantes, presencia de entidad directa de cartera y posible categoría de origen. La literatura reciente sugiere que estos metadatos son valiosos no solo para la clasificación, sino también para la calibración de confianza y la gestión del correo no deseado semántico.</w:t>
      </w:r>
    </w:p>
    <w:p/>
    <w:p>
      <w:pPr/>
      <w:r>
        <w:t>Fase 4: Relevancia por cartera</w:t>
      </w:r>
    </w:p>
    <w:p>
      <w:pPr/>
      <w:r>
        <w:t>La relevancia se abordará con un enfoque híbrido. En una primera capa, reglas explícitas capturarán menciones directas a empresas en cartera o a entidades muy próximas. En una segunda capa, embeddings y similitud semántica permitirán detectar relevancia indirecta por sector, geografía o temática. La salida será un score continuo de relevancia contextual.</w:t>
      </w:r>
    </w:p>
    <w:p>
      <w:pPr/>
      <w:r>
        <w:t>Esta combinación responde a una lógica práctica: las reglas ofrecen interpretabilidad y bajo coste; las representaciones semánticas permiten mayor cobertura. La cartera dejará así de ser un simple filtro por ticker y pasará a actuar como un objeto semántico y financiero más rico.</w:t>
      </w:r>
    </w:p>
    <w:p/>
    <w:p>
      <w:pPr/>
      <w:r>
        <w:t>Fase 5: Clasificación de eventos e impacto</w:t>
      </w:r>
    </w:p>
    <w:p>
      <w:pPr/>
      <w:r>
        <w:t>Para entrenar y evaluar esta capa se construirá un conjunto(s) de datos etiquetado manual o semi-manualmente con un subconjunto representativo de noticias. Cada registro incluirá, idealmente, relevancia, tipo de evento, dirección probable del impacto y severidad aproximada. Dado que los recursos de anotación son limitados, se priorizará la consistencia interetiquetador y la calidad de la taxonomía sobre el tamaño bruto del corpus.</w:t>
      </w:r>
    </w:p>
    <w:p>
      <w:pPr/>
      <w:r>
        <w:t>En cuanto a modelos, la estrategia recomendada es comenzar con baselines robustos: embeddings más clasificadores tradicionales para evento y dirección, y una clasificación ordinal para severidad. Si la calidad del dato lo permite, estos modelos podrán compararse con alternativas más avanzadas, como transformers de dominio o variantes instruccionales. FinBERT y modelos relacionados pueden incorporarse como baseline o como fuente de features para sentimiento financiero.</w:t>
      </w:r>
    </w:p>
    <w:p>
      <w:pPr/>
      <w:r>
        <w:t>También se prestará atención a la calibración. El score de confianza no debe confundirse con la probabilidad bruta del modelo. Métodos de calibración como Platt scaling o isotonic regression permitirán presentar alertas con un grado de seguridad más interpretable.</w:t>
      </w:r>
    </w:p>
    <w:p/>
    <w:p>
      <w:pPr/>
      <w:r>
        <w:t>Fase 6: Motor de alertas y evaluación</w:t>
      </w:r>
    </w:p>
    <w:p>
      <w:pPr/>
      <w:r>
        <w:t>La generación de alertas se basará en un score compuesto que combine relevancia, severidad, confianza, credibilidad de la fuente, corroboración, novedad y penalización por redundancia. La lógica de disparo deberá ser deliberadamente conservadora para evitar un exceso de alertas de baja utilidad.</w:t>
      </w:r>
    </w:p>
    <w:p>
      <w:pPr/>
      <w:r>
        <w:t>La evaluación se realizará en dos niveles. En el plano NLP se utilizarán precisión, recall, F1, matrices de confusión y medidas de calibración. En el plano financiero se realizará un análisis de evento en ventanas temporales cortas, comparando las alertas emitidas con baselines más simples —por ejemplo, alertado por palabras clave, por sentimiento genérico o por mera mención de una compañía—. La advertencia metodológica de Goldsmith-Pinkham y Lyu (2025) sobre los event studies justifica adoptar un planteamiento prudente, transparente y comparativo.</w:t>
      </w:r>
    </w:p>
    <w:p>
      <w:pPr/>
      <w:r>
        <w:t>En conjunto, la metodología pretende equilibrar ambición y viabilidad. El proyecto es técnicamente exigente, pero se acota mediante una arquitectura modular, un conjunto limitado de activos y una evaluación incremental que permita defender resultados parciales sólidos.</w:t>
      </w:r>
    </w:p>
    <w:p>
      <w:r>
        <w:br w:type="page"/>
      </w:r>
    </w:p>
    <w:p>
      <w:pPr>
        <w:pStyle w:val="Ttulo1"/>
      </w:pPr>
      <w:r>
        <w:t>Desarrollo específico de la contribución</w:t>
      </w:r>
    </w:p>
    <w:p>
      <w:pPr/>
      <w:r>
        <w:t>Este capítulo describe en detalle la contribución técnica del trabajo: la identificación de requisitos del sistema, la arquitectura y módulos de la herramienta desarrollada, y la evaluación cuantitativa de su rendimiento.</w:t>
      </w:r>
    </w:p>
    <w:p>
      <w:pPr>
        <w:pStyle w:val="Ttulo2"/>
      </w:pPr>
      <w:r>
        <w:t>Identificación de requisitos</w:t>
      </w:r>
    </w:p>
    <w:p>
      <w:pPr/>
      <w:r>
        <w:t>Los requisitos del sistema se derivan directamente del hueco de investigación identificado en el capítulo 2 y de los objetivos formulados en el capítulo 3. Se distinguen requisitos funcionales y no funcionales.</w:t>
      </w:r>
    </w:p>
    <w:p>
      <w:pPr/>
      <w:r>
        <w:t>Requisitos funcionales:</w:t>
      </w:r>
    </w:p>
    <w:p>
      <w:pPr>
        <w:pStyle w:val="Prrafodelista"/>
      </w:pPr>
      <w:r>
        <w:t>RF1. El sistema debe permitir al usuario declarar una cartera de inversión con tickers, sectores y geografías.</w:t>
      </w:r>
    </w:p>
    <w:p>
      <w:pPr>
        <w:pStyle w:val="Prrafodelista"/>
      </w:pPr>
      <w:r>
        <w:t>RF2. Debe adquirir noticias de forma automática desde fuentes heterogéneas (RSS, SEC EDGAR, CNMV, NewsAPI, Alpha Vantage).</w:t>
      </w:r>
    </w:p>
    <w:p>
      <w:pPr>
        <w:pStyle w:val="Prrafodelista"/>
      </w:pPr>
      <w:r>
        <w:t>RF3. Debe preprocesar las noticias: limpieza, detección de idioma, traducción automática y reconocimiento de entidades.</w:t>
      </w:r>
    </w:p>
    <w:p>
      <w:pPr>
        <w:pStyle w:val="Prrafodelista"/>
      </w:pPr>
      <w:r>
        <w:t>RF4. Debe evaluar la relevancia de cada noticia respecto a la cartera del usuario mediante reglas explícitas y similitud semántica.</w:t>
      </w:r>
    </w:p>
    <w:p>
      <w:pPr>
        <w:pStyle w:val="Prrafodelista"/>
      </w:pPr>
      <w:r>
        <w:t>RF5. Debe clasificar el tipo de evento financiero y estimar la dirección y severidad del impacto.</w:t>
      </w:r>
    </w:p>
    <w:p>
      <w:pPr>
        <w:pStyle w:val="Prrafodelista"/>
      </w:pPr>
      <w:r>
        <w:t>RF6. Debe generar alertas explicables con trazabilidad de fuente, deduplicación semántica y control de ruido.</w:t>
      </w:r>
    </w:p>
    <w:p>
      <w:pPr>
        <w:pStyle w:val="Prrafodelista"/>
      </w:pPr>
      <w:r>
        <w:t>RF7. Debe ofrecer opcionalmente un análisis contextual enriquecido mediante modelos de lenguaje de gran escala.</w:t>
      </w:r>
    </w:p>
    <w:p>
      <w:pPr>
        <w:pStyle w:val="Prrafodelista"/>
      </w:pPr>
      <w:r>
        <w:t>RF8. Debe proporcionar un módulo de asesoramiento de inversiones con perfilado de riesgo MiFID.</w:t>
      </w:r>
    </w:p>
    <w:p>
      <w:pPr>
        <w:pStyle w:val="Prrafodelista"/>
      </w:pPr>
      <w:r>
        <w:t>RF9. Debe ofrecer métricas de cartera (Sharpe, Sortino, VaR, drawdown) y datos de mercado en tiempo real.</w:t>
      </w:r>
    </w:p>
    <w:p/>
    <w:p>
      <w:pPr/>
      <w:r>
        <w:t>Requisitos no funcionales:</w:t>
      </w:r>
    </w:p>
    <w:p>
      <w:pPr>
        <w:pStyle w:val="Prrafodelista"/>
      </w:pPr>
      <w:r>
        <w:t>RNF1. Arquitectura modular que permita la sustitución independiente de componentes.</w:t>
      </w:r>
    </w:p>
    <w:p>
      <w:pPr>
        <w:pStyle w:val="Prrafodelista"/>
      </w:pPr>
      <w:r>
        <w:t>RNF2. Funcionamiento sin dependencia obligatoria de servicios de pago (degradación elegante sin claves de API).</w:t>
      </w:r>
    </w:p>
    <w:p>
      <w:pPr>
        <w:pStyle w:val="Prrafodelista"/>
      </w:pPr>
      <w:r>
        <w:t>RNF3. Soporte multilingüe (español e inglés como mínimo).</w:t>
      </w:r>
    </w:p>
    <w:p>
      <w:pPr>
        <w:pStyle w:val="Prrafodelista"/>
      </w:pPr>
      <w:r>
        <w:t>RNF4. Interfaz web responsiva para la gestión de carteras y visualización de alertas.</w:t>
      </w:r>
    </w:p>
    <w:p>
      <w:pPr>
        <w:pStyle w:val="Prrafodelista"/>
      </w:pPr>
      <w:r>
        <w:t>RNF5. Despliegue reproducible mediante contenedores Docker.</w:t>
      </w:r>
    </w:p>
    <w:p/>
    <w:p>
      <w:pPr/>
      <w:r>
        <w:t>Salida esperada de una alerta:</w:t>
      </w:r>
    </w:p>
    <w:p>
      <w:pPr/>
      <w:r>
        <w:t>Cada alerta generada por el sistema debería contener, como mínimo, los siguientes elementos: activo o activos afectados; tipo de evento; síntesis breve de la noticia; dirección estimada del impacto (alcista, bajista o neutral); severidad estimada; nivel de confianza; fuente o fuentes que respaldan la alerta; y explicación resumida de por qué se considera relevante para la cartera.</w:t>
      </w:r>
    </w:p>
    <w:p/>
    <w:p>
      <w:pPr/>
      <w:r>
        <w:t>Ejemplo de salida:</w:t>
        <w:br/>
        <w:t>Posible alerta bajista media para Activo X. Evento detectado: litigio regulatorio. Relevancia alta por mención directa de la compañía en cartera y corroboración en dos fuentes adicionales. Severidad estimada: media. Confianza: 0,81. Motivo: posible incremento de riesgo legal y reputacional con impacto potencial en expectativas de beneficios.</w:t>
      </w:r>
    </w:p>
    <w:p>
      <w:pPr>
        <w:pStyle w:val="Ttulo2"/>
      </w:pPr>
      <w:r>
        <w:t>Descripción de la herramienta software desarrollada</w:t>
      </w:r>
    </w:p>
    <w:p>
      <w:pPr/>
      <w:r>
        <w:t>El sistema se ha implementado siguiendo una arquitectura modular organizada en una cadena de procesamiento de siete etapas. La Figura 1 muestra el diagrama general de la arquitectura.</w:t>
      </w:r>
    </w:p>
    <w:p>
      <w:pPr/>
      <w:r>
        <w:t>[Figura 1. Arquitectura general del sistema InvestAIlert. Fuente: elaboración propia.]</w:t>
      </w:r>
    </w:p>
    <w:p/>
    <w:p>
      <w:pPr/>
      <w:r>
        <w:t>Tecnologías empleadas:</w:t>
      </w:r>
    </w:p>
    <w:p>
      <w:pPr/>
      <w:r>
        <w:t>El sistema se ha desarrollado en Python 3.12 con FastAPI como marco de la interfaz de programación de aplicaciones REST asíncrona y Motor como controlador asíncrono de MongoDB. La interfaz web se ha construido con Next.js 16.2 y React 19, empleando Tailwind CSS para el diseño responsivo.</w:t>
      </w:r>
    </w:p>
    <w:p>
      <w:pPr/>
      <w:r>
        <w:t>Modelos de procesamiento de lenguaje natural:</w:t>
      </w:r>
    </w:p>
    <w:p>
      <w:pPr>
        <w:pStyle w:val="Prrafodelista"/>
      </w:pPr>
      <w:r>
        <w:t>Análisis de sentimiento financiero: FinBERT (ProsusAI/finbert), modelo preentrenado sobre textos financieros basado en la arquitectura BERT.</w:t>
      </w:r>
    </w:p>
    <w:p>
      <w:pPr>
        <w:pStyle w:val="Prrafodelista"/>
      </w:pPr>
      <w:r>
        <w:t>Representaciones vectoriales densas: Sentence-Transformers (all-MiniLM-L6-v2), para similitud semántica y deduplicación. El término embeddings se emplea de forma generalizada en la comunidad investigadora al no existir un equivalente consolidado en español (Mikolov et al., 2013; Reimers y Gurevych, 2019).</w:t>
      </w:r>
    </w:p>
    <w:p>
      <w:pPr>
        <w:pStyle w:val="Prrafodelista"/>
      </w:pPr>
      <w:r>
        <w:t>Reconocimiento de entidades: spaCy (en_core_web_sm), con traducción automática de textos en español mediante deep-translator.</w:t>
      </w:r>
    </w:p>
    <w:p>
      <w:pPr>
        <w:pStyle w:val="Prrafodelista"/>
      </w:pPr>
      <w:r>
        <w:t>Clasificación de eventos: BART-MNLI (facebook/bart-large-mnli), modelo de inferencia de lenguaje natural en configuración de clasificación sin ejemplos previos (zero-shot). Reemplaza la dependencia de modelos de lenguaje de gran escala para esta tarea, funcionando de forma local y sin coste.</w:t>
      </w:r>
    </w:p>
    <w:p>
      <w:pPr>
        <w:pStyle w:val="Prrafodelista"/>
      </w:pPr>
      <w:r>
        <w:t>Análisis contextual: multiproveedor (OpenAI, GitHub Models, HuggingFace, Ollama) mediante interfaz unificada AsyncOpenAI. Funcionalidad opcional con degradación elegante.</w:t>
      </w:r>
    </w:p>
    <w:p/>
    <w:p>
      <w:pPr/>
      <w:r>
        <w:t>Módulos del sistema:</w:t>
      </w:r>
    </w:p>
    <w:p>
      <w:pPr/>
      <w:r>
        <w:t>A continuación se describe brevemente cada módulo del sistema. El código fuente completo está disponible en el repositorio indicado en el Anexo A.</w:t>
      </w:r>
    </w:p>
    <w:p/>
    <w:p>
      <w:pPr/>
      <w:r>
        <w:t>Módulo de cartera (portfolio). Gestión completa de carteras de inversión: creación, lectura, actualización y eliminación. Normalización de tickers, sectores y geografías.</w:t>
      </w:r>
    </w:p>
    <w:p/>
    <w:p>
      <w:pPr/>
      <w:r>
        <w:t>Módulo de ingesta (ingestion). Adquisición automática de noticias desde cinco fuentes: RSS (feeds financieros internacionales), CNMV (hechos relevantes del regulador español), NewsAPI, Alpha Vantage y SEC EDGAR (filings de la Comisión de Bolsa y Valores de Estados Unidos).</w:t>
      </w:r>
    </w:p>
    <w:p/>
    <w:p>
      <w:pPr/>
      <w:r>
        <w:t>Módulo de preprocesado (nlp). Limpieza textual, detección de idioma, traducción automática español→inglés, análisis de sentimiento con FinBERT y reconocimiento de entidades con spaCy.</w:t>
      </w:r>
    </w:p>
    <w:p/>
    <w:p>
      <w:pPr/>
      <w:r>
        <w:t>Módulo de relevancia (relevance). Evaluación híbrida de la pertinencia de cada noticia: capa de reglas explícitas (menciones directas a tickers y nombres de empresas) y capa semántica (similitud coseno entre representaciones vectoriales de la noticia y los activos de la cartera).</w:t>
      </w:r>
    </w:p>
    <w:p/>
    <w:p>
      <w:pPr/>
      <w:r>
        <w:t>Módulo de eventos (events). Clasificación automática del tipo de evento financiero entre 12 categorías predefinidas mediante inferencia de lenguaje natural sin ejemplos previos con BART-MNLI.</w:t>
      </w:r>
    </w:p>
    <w:p/>
    <w:p>
      <w:pPr/>
      <w:r>
        <w:t>Módulo de impacto (impact). Estimación determinista de la dirección (alcista/bajista/neutral) y la severidad (1-5) del impacto, con posibilidad de enriquecimiento contextual mediante modelos de lenguaje de gran escala.</w:t>
      </w:r>
    </w:p>
    <w:p/>
    <w:p>
      <w:pPr/>
      <w:r>
        <w:t>Motor de alertas (alerts). Generación de alertas con puntuación compuesta, deduplicación semántica mediante representaciones vectoriales con persistencia en MongoDB, y control antirruido.</w:t>
      </w:r>
    </w:p>
    <w:p/>
    <w:p>
      <w:pPr/>
      <w:r>
        <w:t>Módulo de notificaciones (notifications). Envío de alertas por correo electrónico (SMTP con plantilla HTML) y webhook HTTP (compatible con Slack, Discord y Telegram).</w:t>
      </w:r>
    </w:p>
    <w:p/>
    <w:p>
      <w:pPr/>
      <w:r>
        <w:t>Módulo de asesoramiento (advisor). Cuestionario MiFID de 10 preguntas para perfilado de riesgo, análisis de diversificación (índice Herfindahl-Hirschman) y generación de informes con modelos de lenguaje de gran escala o alternativa determinista.</w:t>
      </w:r>
    </w:p>
    <w:p/>
    <w:p>
      <w:pPr/>
      <w:r>
        <w:t>Módulo de mercado (market). Datos de mercado en tiempo real mediante yfinance: búsqueda de activos, precios actuales e históricos OHLCV.</w:t>
      </w:r>
    </w:p>
    <w:p/>
    <w:p>
      <w:pPr/>
      <w:r>
        <w:t>Módulo de analítica (analytics). Métricas de rendimiento de cartera mediante quantstats: ratio de Sharpe, ratio de Sortino, valor en riesgo (VaR), máxima caída (drawdown), alfa y beta.</w:t>
      </w:r>
    </w:p>
    <w:p/>
    <w:p>
      <w:pPr/>
      <w:r>
        <w:t>Programador (scheduler). Orquestación de tareas periódicas con APScheduler: ingesta cada 15 minutos, generación de alertas cada 20 minutos, limpieza diaria de registros antiguos.</w:t>
      </w:r>
    </w:p>
    <w:p/>
    <w:p>
      <w:pPr/>
      <w:r>
        <w:t>Interfaz web:</w:t>
      </w:r>
    </w:p>
    <w:p>
      <w:pPr/>
      <w:r>
        <w:t>La interfaz web proporciona seis vistas principales: panel de control con indicadores clave de rendimiento financiero, gestión de carteras con autocompletado de tickers, visualización de noticias procesadas, motor de alertas con filtros, módulo de asesoramiento con cuestionario interactivo y configuración del sistema.</w:t>
      </w:r>
    </w:p>
    <w:p>
      <w:pPr/>
      <w:r>
        <w:t>[Figura 2. Captura de pantalla del panel de control. Fuente: elaboración propia.]</w:t>
      </w:r>
    </w:p>
    <w:p>
      <w:pPr>
        <w:pStyle w:val="Ttulo2"/>
      </w:pPr>
      <w:r>
        <w:t>Evaluación</w:t>
      </w:r>
    </w:p>
    <w:p>
      <w:pPr/>
      <w:r>
        <w:t>La evaluación del sistema se ha abordado desde una perspectiva cuantitativa, mediante un estudio de ablación que compara cuatro variantes de la cadena de procesamiento sobre un corpus de evaluación etiquetado manualmente.</w:t>
      </w:r>
    </w:p>
    <w:p/>
    <w:p>
      <w:pPr/>
      <w:r>
        <w:t>4.3.1. Conjunto de datos etiquetado como contribución</w:t>
      </w:r>
    </w:p>
    <w:p>
      <w:pPr/>
      <w:r>
        <w:t>Una de las contribuciones del presente trabajo es la construcción de un conjunto de datos etiquetado específicamente diseñado para evaluar sistemas de alertas financieras personalizadas. Este recurso, que no existía previamente en la literatura consultada, se compone de los siguientes elementos:</w:t>
      </w:r>
    </w:p>
    <w:p>
      <w:pPr>
        <w:pStyle w:val="Prrafodelista"/>
      </w:pPr>
      <w:r>
        <w:t>40 noticias financieras reales, redactadas en inglés y español.</w:t>
      </w:r>
    </w:p>
    <w:p>
      <w:pPr>
        <w:pStyle w:val="Prrafodelista"/>
      </w:pPr>
      <w:r>
        <w:t>3 carteras de referencia con composiciones diversas: tecnológica estadounidense (AAPL, MSFT, NVDA, TSLA), ibérica diversificada (SAN.MC, BBVA.MC, ITX.MC, IBE.MC) y energética global (XOM, SHEL, REP.MC).</w:t>
      </w:r>
    </w:p>
    <w:p>
      <w:pPr>
        <w:pStyle w:val="Prrafodelista"/>
      </w:pPr>
      <w:r>
        <w:t>Etiquetas manuales para cada par noticia-cartera: relevancia (binaria), activos afectados (conjunto), tipo de evento (12 categorías), dirección (alcista/bajista/neutral) y severidad (escala ordinal 1-5).</w:t>
      </w:r>
    </w:p>
    <w:p>
      <w:pPr>
        <w:pStyle w:val="Prrafodelista"/>
      </w:pPr>
      <w:r>
        <w:t>5 noticias negativas (irrelevantes para todas las carteras) para evaluar la tasa de falsos positivos.</w:t>
      </w:r>
    </w:p>
    <w:p>
      <w:pPr>
        <w:pStyle w:val="Prrafodelista"/>
      </w:pPr>
      <w:r>
        <w:t>Casos difíciles de relevancia indirecta: regulación sectorial, competidores, proveedores.</w:t>
      </w:r>
    </w:p>
    <w:p>
      <w:pPr>
        <w:pStyle w:val="Prrafodelista"/>
      </w:pPr>
      <w:r>
        <w:t>Cobertura de los 12 tipos de evento definidos en la taxonomía del sistema.</w:t>
      </w:r>
    </w:p>
    <w:p>
      <w:pPr/>
      <w:r>
        <w:t>El conjunto de datos se distribuye en formato JSONL con esquema validado mediante modelos Pydantic y está disponible en el repositorio del proyecto (véase Anexo A).</w:t>
      </w:r>
    </w:p>
    <w:p/>
    <w:p>
      <w:pPr/>
      <w:r>
        <w:t>4.3.2. Marco de evaluación y métricas</w:t>
      </w:r>
    </w:p>
    <w:p>
      <w:pPr/>
      <w:r>
        <w:t>La evaluación emplea un conjunto de métricas complementarias adaptadas a la naturaleza de cada tarea:</w:t>
      </w:r>
    </w:p>
    <w:p>
      <w:pPr>
        <w:pStyle w:val="Prrafodelista"/>
      </w:pPr>
      <w:r>
        <w:t>Relevancia (clasificación binaria): precisión, exhaustividad (recall), F1 y exactitud (accuracy).</w:t>
      </w:r>
    </w:p>
    <w:p>
      <w:pPr>
        <w:pStyle w:val="Prrafodelista"/>
      </w:pPr>
      <w:r>
        <w:t>Activos afectados (predicción de conjuntos): índice de Jaccard, precisión micro, exhaustividad micro y F1 micro.</w:t>
      </w:r>
    </w:p>
    <w:p>
      <w:pPr>
        <w:pStyle w:val="Prrafodelista"/>
      </w:pPr>
      <w:r>
        <w:t>Tipo de evento (clasificación multiclase): precisión, exhaustividad y F1 por clase; promedios macro y ponderado.</w:t>
      </w:r>
    </w:p>
    <w:p>
      <w:pPr>
        <w:pStyle w:val="Prrafodelista"/>
      </w:pPr>
      <w:r>
        <w:t>Severidad (escala ordinal 1-5): error absoluto medio (MAE) sobre la escala de cinco niveles.</w:t>
      </w:r>
    </w:p>
    <w:p>
      <w:pPr/>
      <w:r>
        <w:t>Todas las métricas se han implementado en Python puro, sin dependencias externas como scikit-learn, para garantizar la reproducibilidad y la transparencia del cálculo.</w:t>
      </w:r>
    </w:p>
    <w:p/>
    <w:p>
      <w:pPr/>
      <w:r>
        <w:t>4.3.3. Estudio de ablación</w:t>
      </w:r>
    </w:p>
    <w:p>
      <w:pPr/>
      <w:r>
        <w:t>El estudio de ablación compara cuatro variantes del sistema, construidas mediante la activación progresiva de módulos:</w:t>
      </w:r>
    </w:p>
    <w:p>
      <w:pPr>
        <w:pStyle w:val="Prrafodelista"/>
      </w:pPr>
      <w:r>
        <w:t>Variante «reglas» (baseline): solo coincidencia exacta de tickers y nombres de empresas.</w:t>
      </w:r>
    </w:p>
    <w:p>
      <w:pPr>
        <w:pStyle w:val="Prrafodelista"/>
      </w:pPr>
      <w:r>
        <w:t>Variante «híbrida»: reglas + similitud semántica mediante representaciones vectoriales densas.</w:t>
      </w:r>
    </w:p>
    <w:p>
      <w:pPr>
        <w:pStyle w:val="Prrafodelista"/>
      </w:pPr>
      <w:r>
        <w:t>Variante «híbrida con NLI»: reglas + semántica + clasificación de eventos con inferencia de lenguaje natural.</w:t>
      </w:r>
    </w:p>
    <w:p>
      <w:pPr>
        <w:pStyle w:val="Prrafodelista"/>
      </w:pPr>
      <w:r>
        <w:t>Variante «completa»: todos los módulos anteriores + análisis contextual con modelo de lenguaje de gran escala.</w:t>
      </w:r>
    </w:p>
    <w:p/>
    <w:p>
      <w:pPr/>
      <w:r>
        <w:t>4.3.4. Resultados preliminares</w:t>
      </w:r>
    </w:p>
    <w:p>
      <w:pPr/>
      <w:r>
        <w:t>La Tabla 3 presenta los resultados de la variante basada en reglas, que constituye el baseline del sistema.</w:t>
      </w:r>
    </w:p>
    <w:p>
      <w:pPr/>
      <w:r>
        <w:t>Tabla 3. Resultados de la variante «reglas» sobre el corpus de evaluación.</w:t>
      </w:r>
    </w:p>
    <w:tbl>
      <w:tblPr>
        <w:tblStyle w:val="Tablaconcuadrcula"/>
        <w:tblW w:type="auto" w:w="0"/>
        <w:tblLook w:firstColumn="1" w:firstRow="1" w:lastColumn="0" w:lastRow="0" w:noHBand="0" w:noVBand="1" w:val="04A0"/>
      </w:tblPr>
      <w:tblGrid>
        <w:gridCol w:w="3024"/>
        <w:gridCol w:w="3024"/>
        <w:gridCol w:w="3024"/>
      </w:tblGrid>
      <w:tr>
        <w:tc>
          <w:tcPr>
            <w:tcW w:type="dxa" w:w="3024"/>
          </w:tcPr>
          <w:p>
            <w:r>
              <w:rPr>
                <w:b/>
              </w:rPr>
              <w:t>Tarea</w:t>
            </w:r>
          </w:p>
        </w:tc>
        <w:tc>
          <w:tcPr>
            <w:tcW w:type="dxa" w:w="3024"/>
          </w:tcPr>
          <w:p>
            <w:r>
              <w:rPr>
                <w:b/>
              </w:rPr>
              <w:t>Métrica</w:t>
            </w:r>
          </w:p>
        </w:tc>
        <w:tc>
          <w:tcPr>
            <w:tcW w:type="dxa" w:w="3024"/>
          </w:tcPr>
          <w:p>
            <w:r>
              <w:rPr>
                <w:b/>
              </w:rPr>
              <w:t>Valor</w:t>
            </w:r>
          </w:p>
        </w:tc>
      </w:tr>
      <w:tr>
        <w:tc>
          <w:tcPr>
            <w:tcW w:type="dxa" w:w="3024"/>
          </w:tcPr>
          <w:p>
            <w:r>
              <w:t>Relevancia</w:t>
            </w:r>
          </w:p>
        </w:tc>
        <w:tc>
          <w:tcPr>
            <w:tcW w:type="dxa" w:w="3024"/>
          </w:tcPr>
          <w:p>
            <w:r>
              <w:t>Precisión</w:t>
            </w:r>
          </w:p>
        </w:tc>
        <w:tc>
          <w:tcPr>
            <w:tcW w:type="dxa" w:w="3024"/>
          </w:tcPr>
          <w:p>
            <w:r>
              <w:t>1,000</w:t>
            </w:r>
          </w:p>
        </w:tc>
      </w:tr>
      <w:tr>
        <w:tc>
          <w:tcPr>
            <w:tcW w:type="dxa" w:w="3024"/>
          </w:tcPr>
          <w:p>
            <w:r>
              <w:t>Relevancia</w:t>
            </w:r>
          </w:p>
        </w:tc>
        <w:tc>
          <w:tcPr>
            <w:tcW w:type="dxa" w:w="3024"/>
          </w:tcPr>
          <w:p>
            <w:r>
              <w:t>Exhaustividad</w:t>
            </w:r>
          </w:p>
        </w:tc>
        <w:tc>
          <w:tcPr>
            <w:tcW w:type="dxa" w:w="3024"/>
          </w:tcPr>
          <w:p>
            <w:r>
              <w:t>0,879</w:t>
            </w:r>
          </w:p>
        </w:tc>
      </w:tr>
      <w:tr>
        <w:tc>
          <w:tcPr>
            <w:tcW w:type="dxa" w:w="3024"/>
          </w:tcPr>
          <w:p>
            <w:r>
              <w:t>Relevancia</w:t>
            </w:r>
          </w:p>
        </w:tc>
        <w:tc>
          <w:tcPr>
            <w:tcW w:type="dxa" w:w="3024"/>
          </w:tcPr>
          <w:p>
            <w:r>
              <w:t>F1</w:t>
            </w:r>
          </w:p>
        </w:tc>
        <w:tc>
          <w:tcPr>
            <w:tcW w:type="dxa" w:w="3024"/>
          </w:tcPr>
          <w:p>
            <w:r>
              <w:t>0,935</w:t>
            </w:r>
          </w:p>
        </w:tc>
      </w:tr>
      <w:tr>
        <w:tc>
          <w:tcPr>
            <w:tcW w:type="dxa" w:w="3024"/>
          </w:tcPr>
          <w:p>
            <w:r>
              <w:t>Relevancia</w:t>
            </w:r>
          </w:p>
        </w:tc>
        <w:tc>
          <w:tcPr>
            <w:tcW w:type="dxa" w:w="3024"/>
          </w:tcPr>
          <w:p>
            <w:r>
              <w:t>Exactitud</w:t>
            </w:r>
          </w:p>
        </w:tc>
        <w:tc>
          <w:tcPr>
            <w:tcW w:type="dxa" w:w="3024"/>
          </w:tcPr>
          <w:p>
            <w:r>
              <w:t>0,925</w:t>
            </w:r>
          </w:p>
        </w:tc>
      </w:tr>
      <w:tr>
        <w:tc>
          <w:tcPr>
            <w:tcW w:type="dxa" w:w="3024"/>
          </w:tcPr>
          <w:p>
            <w:r>
              <w:t>Activos afectados</w:t>
            </w:r>
          </w:p>
        </w:tc>
        <w:tc>
          <w:tcPr>
            <w:tcW w:type="dxa" w:w="3024"/>
          </w:tcPr>
          <w:p>
            <w:r>
              <w:t>F1 micro</w:t>
            </w:r>
          </w:p>
        </w:tc>
        <w:tc>
          <w:tcPr>
            <w:tcW w:type="dxa" w:w="3024"/>
          </w:tcPr>
          <w:p>
            <w:r>
              <w:t>1,000</w:t>
            </w:r>
          </w:p>
        </w:tc>
      </w:tr>
      <w:tr>
        <w:tc>
          <w:tcPr>
            <w:tcW w:type="dxa" w:w="3024"/>
          </w:tcPr>
          <w:p>
            <w:r>
              <w:t>Activos afectados</w:t>
            </w:r>
          </w:p>
        </w:tc>
        <w:tc>
          <w:tcPr>
            <w:tcW w:type="dxa" w:w="3024"/>
          </w:tcPr>
          <w:p>
            <w:r>
              <w:t>Jaccard</w:t>
            </w:r>
          </w:p>
        </w:tc>
        <w:tc>
          <w:tcPr>
            <w:tcW w:type="dxa" w:w="3024"/>
          </w:tcPr>
          <w:p>
            <w:r>
              <w:t>1,000</w:t>
            </w:r>
          </w:p>
        </w:tc>
      </w:tr>
      <w:tr>
        <w:tc>
          <w:tcPr>
            <w:tcW w:type="dxa" w:w="3024"/>
          </w:tcPr>
          <w:p>
            <w:r>
              <w:t>Severidad</w:t>
            </w:r>
          </w:p>
        </w:tc>
        <w:tc>
          <w:tcPr>
            <w:tcW w:type="dxa" w:w="3024"/>
          </w:tcPr>
          <w:p>
            <w:r>
              <w:t>MAE ordinal</w:t>
            </w:r>
          </w:p>
        </w:tc>
        <w:tc>
          <w:tcPr>
            <w:tcW w:type="dxa" w:w="3024"/>
          </w:tcPr>
          <w:p>
            <w:r>
              <w:t>[pendiente]</w:t>
            </w:r>
          </w:p>
        </w:tc>
      </w:tr>
    </w:tbl>
    <w:p/>
    <w:p>
      <w:pPr/>
      <w:r>
        <w:t>[NOTA: Los resultados de las variantes híbrida, híbrida con NLI y completa se incorporarán a medida que se ejecuten las pruebas correspondientes. El estudio de ablación completo requiere aproximadamente 10-15 minutos de procesamiento en CPU.]</w:t>
      </w:r>
    </w:p>
    <w:p>
      <w:pPr/>
      <w:r>
        <w:t>Estos resultados preliminares son alentadores: la variante más sencilla ya supera el umbral de F1=0,80 establecido en el objetivo general, con una precisión perfecta que indica ausencia total de falsos positivos. La exhaustividad de 0,879 señala que el sistema pierde un 12,1% de noticias relevantes, correspondientes a casos de relevancia indirecta que requieren las capas semánticas o de modelos de lenguaje de gran escala para ser detectados.</w:t>
      </w:r>
    </w:p>
    <w:p>
      <w:r>
        <w:br w:type="page"/>
      </w:r>
    </w:p>
    <w:p>
      <w:pPr>
        <w:pStyle w:val="Ttulo1"/>
      </w:pPr>
      <w:r>
        <w:t>Conclusiones y trabajo futuro</w:t>
      </w:r>
    </w:p>
    <w:p>
      <w:pPr>
        <w:pStyle w:val="Ttulo2"/>
      </w:pPr>
      <w:r>
        <w:t>Conclusiones</w:t>
      </w:r>
    </w:p>
    <w:p>
      <w:pPr/>
      <w:r>
        <w:t>La revisión bibliográfica y el análisis comparativo permiten concluir que el problema propuesto para el TFM es actual, relevante y metodológicamente defendible. La automatización del asesoramiento financiero ha avanzado de forma notable, pero la literatura sigue mostrando una separación entre sistemas centrados en cartera, técnicas de NLP financiero y arquitecturas más recientes basadas en LLM. Existe, por tanto, un espacio legítimo para propuestas que integren estas piezas de forma orientada a un caso de uso concreto y evaluable.</w:t>
      </w:r>
    </w:p>
    <w:p>
      <w:pPr/>
      <w:r>
        <w:t>El trabajo propuesto no pretende competir con los sistemas más ambiciosos del mercado ni con la literatura más especulativa sobre agentes autónomos de negociación. Su aportación esperada es más específica y, precisamente por ello, más defendible: diseñar una capa de inteligencia informativa personalizada que monitorice noticias, detecte eventos relevantes para una cartera, estime impacto y emita alertas explicables con un control razonable del ruido y de la redundancia.</w:t>
      </w:r>
    </w:p>
    <w:p>
      <w:pPr/>
      <w:r>
        <w:t>De aquí a la siguiente fase del TFM, el plan de trabajo puede organizarse en cuatro bloques prácticos. El primero consiste en consolidar la revisión bibliográfica y cerrar la taxonomía de eventos. El segundo, en construir el cadena de procesamiento de ingesta y almacenamiento. El tercero, en preparar el corpus etiquetado y desarrollar los primeros baselines de relevancia, evento e impacto. El cuarto, en integrar el motor de alertas y ejecutar la evaluación dual. Si el tiempo y los datos lo permiten, podrá añadirse una exploración complementaria sobre cómo usar las alertas como señales para una revisión táctica de la cartera.</w:t>
      </w:r>
    </w:p>
    <w:p>
      <w:pPr/>
      <w:r>
        <w:t>En definitiva, la idea central del TFM queda bien situada frente a la literatura existente: no sustituir al inversor, sino mejorar de forma medible la calidad, oportunidad y explicabilidad de la información que recibe. Ese es, a la vez, su principal valor práctico y su principal justificación académica.</w:t>
      </w:r>
    </w:p>
    <w:p>
      <w:pPr/>
      <w:r>
        <w:t>Adicionalmente, la construcción de un conjunto de datos etiquetado bilingüe para la evaluación de sistemas de alertas financieras personalizadas constituye una contribución independiente que puede ser reutilizada por otros investigadores del área.</w:t>
      </w:r>
    </w:p>
    <w:p>
      <w:pPr>
        <w:pStyle w:val="Ttulo2"/>
      </w:pPr>
      <w:r>
        <w:t>Líneas de trabajo futuro</w:t>
      </w:r>
    </w:p>
    <w:p>
      <w:pPr>
        <w:pStyle w:val="Prrafodelista"/>
      </w:pPr>
      <w:r>
        <w:t>Ampliación del conjunto de datos de evaluación con más noticias, más carteras y anotadores múltiples para medir la concordancia inter-anotador (kappa de Cohen).</w:t>
      </w:r>
    </w:p>
    <w:p>
      <w:pPr>
        <w:pStyle w:val="Prrafodelista"/>
      </w:pPr>
      <w:r>
        <w:t>Ejecución del estudio de ablación completo con las cuatro variantes y análisis estadístico de las diferencias.</w:t>
      </w:r>
    </w:p>
    <w:p>
      <w:pPr>
        <w:pStyle w:val="Prrafodelista"/>
      </w:pPr>
      <w:r>
        <w:t>Incorporación de un modelo de reconocimiento de entidades financiero especializado (por ejemplo, basado en SENTiVENT o entrenado con datos específicos del dominio).</w:t>
      </w:r>
    </w:p>
    <w:p>
      <w:pPr>
        <w:pStyle w:val="Prrafodelista"/>
      </w:pPr>
      <w:r>
        <w:t>Integración de un estudio de evento simplificado que mida el retorno anormal acumulado (CAR) en ventanas temporales alrededor de las alertas generadas.</w:t>
      </w:r>
    </w:p>
    <w:p>
      <w:pPr>
        <w:pStyle w:val="Prrafodelista"/>
      </w:pPr>
      <w:r>
        <w:t>Caché de representaciones vectoriales de cartera para evitar recálculos y mejorar la latencia del sistema.</w:t>
      </w:r>
    </w:p>
    <w:p>
      <w:pPr>
        <w:pStyle w:val="Prrafodelista"/>
      </w:pPr>
      <w:r>
        <w:t>Implementación de autenticación con JWT y autorización por usuario para soportar múltiples inversores simultáneos.</w:t>
      </w:r>
    </w:p>
    <w:p>
      <w:pPr>
        <w:pStyle w:val="Prrafodelista"/>
      </w:pPr>
      <w:r>
        <w:t>Exploración de modelos multilingües nativos (paraphrase-multilingual-MiniLM-L12-v2) para eliminar la dependencia de traducción automática.</w:t>
      </w:r>
    </w:p>
    <w:p>
      <w:pPr>
        <w:pStyle w:val="Prrafodelista"/>
      </w:pPr>
      <w:r>
        <w:t>Calibración de las probabilidades de confianza del modelo mediante escalado de Platt o regresión isotónica.</w:t>
      </w:r>
    </w:p>
    <w:p>
      <w:pPr>
        <w:pStyle w:val="Prrafodelista"/>
      </w:pPr>
      <w:r>
        <w:t>Pruebas de usabilidad con usuarios expertos para evaluar la aplicabilidad práctica del sistema.</w:t>
      </w:r>
    </w:p>
    <w:p>
      <w:r>
        <w:br w:type="page"/>
      </w:r>
    </w:p>
    <w:p>
      <w:pPr>
        <w:pStyle w:val="Ttulo1"/>
      </w:pPr>
      <w:r>
        <w:t>Referencias bibliográficas</w:t>
      </w:r>
    </w:p>
    <w:p>
      <w:pPr/>
      <w:r>
        <w:t>Ahrens, M., Gorduza, D., y McMahon, M. (2025). EcoFinBench — a natural language processing banco de pruebas for economics and finance. Bank of England Staff Working Paper No. 1,163.</w:t>
      </w:r>
    </w:p>
    <w:p>
      <w:pPr/>
      <w:r>
        <w:t>Araci, D. (2019). FinBERT: Financial análisis de sentimiento with Pre-trained Language Models. arXiv. https://doi.org/10.48550/arXiv.1908.10063</w:t>
      </w:r>
    </w:p>
    <w:p>
      <w:pPr/>
      <w:r>
        <w:t>Aït-Sahalia, Y., Li, C. X., y Li, C. (2024). So Many Jumps, So Few News. NBER Working Paper No. 32746. https://doi.org/10.3386/w32746</w:t>
      </w:r>
    </w:p>
    <w:p>
      <w:pPr/>
      <w:r>
        <w:t>Cao, X., De Zwaan, L., y Wong, V. (2025). Building trust in robo-advisory: technology, firm-specific and system trust. Qualitative Research in Financial Markets, 18(2), 408–428. https://doi.org/10.1108/QRFM-02-2024-0033</w:t>
      </w:r>
    </w:p>
    <w:p>
      <w:pPr/>
      <w:r>
        <w:t>Cardillo, G., y Chiappini, H. (2024). Robo-advisors: A systematic literature review. Finance Research Letters, 62, 105119. https://doi.org/10.1016/j.frl.2024.105119</w:t>
      </w:r>
    </w:p>
    <w:p>
      <w:pPr/>
      <w:r>
        <w:t>CNMV. (2026). RSS Channel / Feed. Comisión Nacional del Mercado de Valores.</w:t>
      </w:r>
    </w:p>
    <w:p>
      <w:pPr/>
      <w:r>
        <w:t>Ding, H., Li, Y., Wang, J., y Chen, H. (2024). Large Language Model Agent in Financial negociación: A Survey. arXiv. https://doi.org/10.48550/arXiv.2408.06361</w:t>
      </w:r>
    </w:p>
    <w:p>
      <w:pPr/>
      <w:r>
        <w:t>Dong, Y., Wu, F., Zhang, K., Dai, Y., Zhang, S., Ye, W., Chen, S., y Cheng, Z.-Q. (2025). Large Language Model Agents in Finance: A Survey Bridging Research, Practice, and Real-World Deployment. Findings of the Association for Computational Linguistics: EMNLP 2025, 17889–17907.</w:t>
      </w:r>
    </w:p>
    <w:p>
      <w:pPr/>
      <w:r>
        <w:t>Dong, Z., Yu, X., Xu, W., et al. (2024). FNSPID: A Comprehensive Financial News conjunto(s) de datos in Time Series. arXiv. https://doi.org/10.48550/arXiv.2402.06698</w:t>
      </w:r>
    </w:p>
    <w:p>
      <w:pPr/>
      <w:r>
        <w:t>Doran, G. T. (1981). There's a S.M.A.R.T. way to write management's goals and objectives. Management Review (AMA FORUM), 70, 35-36.</w:t>
      </w:r>
    </w:p>
    <w:p>
      <w:pPr/>
      <w:r>
        <w:t>Du, K., Zhao, Y., Mao, R., Xing, F., y Cambria, E. (2025). Natural language processing in finance: A survey. Information Fusion, 115, 102755. https://doi.org/10.1016/j.inffus.2024.102755</w:t>
      </w:r>
    </w:p>
    <w:p>
      <w:pPr/>
      <w:r>
        <w:t>ESMA. (2025). Working Paper on Leveraging Large Language Models in Finance: Pathways to Responsible Adoption. European Securities and Markets Authority.</w:t>
      </w:r>
    </w:p>
    <w:p>
      <w:pPr/>
      <w:r>
        <w:t>Fatima, S., y Chakraborty, M. (2024). Adoption of artificial intelligence in financial services: The case of robo-advisors in India. IIMB Management Review, 36(2), 113–125. https://doi.org/10.1016/j.iimb.2024.04.002</w:t>
      </w:r>
    </w:p>
    <w:p>
      <w:pPr/>
      <w:r>
        <w:t>Goldsmith-Pinkham, P., y Lyu, T. (2025). Causal Inference in Financial Event Studies. Working paper, Yale University &amp; NBER.</w:t>
      </w:r>
    </w:p>
    <w:p>
      <w:pPr/>
      <w:r>
        <w:t>Jacobs, G., Hoste, V., Lefever, E., y Van Hee, C. (2020). Extracting Fine-Grained Economic Events from Business News. Proceedings of the 1st Joint Workshop on Financial Narrative Processing and MultiLing Financial Summarisation.</w:t>
      </w:r>
    </w:p>
    <w:p>
      <w:pPr/>
      <w:r>
        <w:t>Jacobs, G., y Hoste, V. (2022). SENTiVENT: enabling supervised information extraction of company-specific events in economic and financial news. Language Resources and Evaluation, 56, 1227–1260. https://doi.org/10.1007/s10579-021-09562-4</w:t>
      </w:r>
    </w:p>
    <w:p>
      <w:pPr/>
      <w:r>
        <w:t>Ji, Z., Lee, N., Frieske, R., Yu, T., Su, D., Xu, Y., Ishii, E., Bang, Y., Madotto, A., y Fung, P. (2023). Survey of Hallucination in Natural Language Generation. ACM Computing Surveys, 55(12), 1–38. https://doi.org/10.1145/3571730</w:t>
      </w:r>
    </w:p>
    <w:p>
      <w:pPr/>
      <w:r>
        <w:t>Mikolov, T., Sutskever, I., Chen, K., Corrado, G. S., y Dean, J. (2013). Distributed Representations of Words and Phrases and their Compositionality. Advances in Neural Information Processing Systems, 26.</w:t>
      </w:r>
    </w:p>
    <w:p>
      <w:pPr/>
      <w:r>
        <w:t>Namyslo, N. M., Jung, D., y Sturm, T. (2025). The state of robo-advisory design: A systematic consolidation of design requirements and recommendations. Electronic Markets, 35, 20. https://doi.org/10.1007/s12525-025-00762-2</w:t>
      </w:r>
    </w:p>
    <w:p>
      <w:pPr/>
      <w:r>
        <w:t>Nguyen, P., y Pham, T. (2026). Toward Reliable Evaluation of LLM-Based Financial Multi-Agent Systems: Taxonomy, Coordination Primacy, and Cost Awareness. arXiv. https://doi.org/10.48550/arXiv.2603.27539</w:t>
      </w:r>
    </w:p>
    <w:p>
      <w:pPr/>
      <w:r>
        <w:t>Nourallah, M., Öhman, P., Walther, T., y Nguyen, D. K. (2026). Financial robo-advisors: A scoping review and future research directions. Journal of Behavioral and Experimental Finance, 49, 101158. https://doi.org/10.1016/j.jbef.2026.101158</w:t>
      </w:r>
    </w:p>
    <w:p>
      <w:pPr/>
      <w:r>
        <w:t>Reimers, N., y Gurevych, I. (2019). Sentence-BERT: Sentence Embeddings using Siamese BERT-Networks. Proceedings of the 2019 Conference on Empirical Methods in Natural Language Processing (EMNLP). https://doi.org/10.18653/v1/D19-1410</w:t>
      </w:r>
    </w:p>
    <w:p>
      <w:pPr/>
      <w:r>
        <w:t>Riskfolio-Lib. (2026). Documentation, version 7.2. https://riskfolio-lib.readthedocs.io/</w:t>
      </w:r>
    </w:p>
    <w:p>
      <w:pPr/>
      <w:r>
        <w:t>SEC. (2024). EDGAR Application Programming Interfaces (APIs). U.S. Securities and Exchange Commission.</w:t>
      </w:r>
    </w:p>
    <w:p>
      <w:pPr/>
      <w:r>
        <w:t>Shah, R. S., Chawla, K., Eidnani, D., Shah, A., Du, W., Chava, S., Raman, N., Smiley, C., Chen, J., y Yang, D. (2022). When FLUE Meets FLANG: bancos de pruebas and Large Pre-trained Language Model for Financial Domain. Proceedings of EMNLP 2022. https://doi.org/10.18653/v1/2022.emnlp-main.148</w:t>
      </w:r>
    </w:p>
    <w:p>
      <w:pPr/>
      <w:r>
        <w:t>Tausch, A., Wischnewski, M., Yalciner, M., y Neider, D. (2025). Formal verification for robo-advisors: Irrelevant for subjective end-user trust, yet decisive for investment behavior? arXiv. https://doi.org/10.48550/arXiv.2509.08540</w:t>
      </w:r>
    </w:p>
    <w:p>
      <w:pPr/>
      <w:r>
        <w:t>Wu, Y., Sun, J., y colaboradores. (2025). A CVaR-Based Black–Litterman Model with Macroeconomic Cycle Views for Optimal Asset Allocation. Mathematics, 13(24), 4034.</w:t>
      </w:r>
    </w:p>
    <w:p>
      <w:pPr/>
      <w:r>
        <w:t>Zhao, Y., y colaboradores. (2025). How to optimize modern portfolio theory? A systematic review and research agenda. Expert Systems with Applications, 268, 125780. https://doi.org/10.1016/j.eswa.2024.125780</w:t>
      </w:r>
    </w:p>
    <w:p>
      <w:pPr/>
      <w:r>
        <w:t>Zhu, H., Vigren, O., y Söderberg, I.-L. (2024). Implementing artificial intelligence empowered financial advisory services: A literature review and critical research agenda. Journal of Business Research, 174, 114494. https://doi.org/10.1016/j.jbusres.2023.114494</w:t>
      </w:r>
    </w:p>
    <w:p>
      <w:r>
        <w:br w:type="page"/>
      </w:r>
    </w:p>
    <w:p>
      <w:pPr>
        <w:pStyle w:val="Ttulo1"/>
      </w:pPr>
      <w:r>
        <w:t>Anexo A. Código fuente y datos analizados</w:t>
      </w:r>
    </w:p>
    <w:p>
      <w:pPr/>
      <w:r>
        <w:t>El código fuente completo del sistema InvestAIlert se encuentra alojado en el siguiente repositorio, del que el autor es único propietario y contribuidor:</w:t>
      </w:r>
    </w:p>
    <w:p>
      <w:pPr/>
      <w:r>
        <w:t>[URL del repositorio de GitHub]</w:t>
      </w:r>
    </w:p>
    <w:p/>
    <w:p>
      <w:pPr/>
      <w:r>
        <w:t>El repositorio contiene la totalidad del código desarrollado durante el Trabajo Fin de Máster, incluyendo:</w:t>
      </w:r>
    </w:p>
    <w:p>
      <w:pPr>
        <w:pStyle w:val="Prrafodelista"/>
      </w:pPr>
      <w:r>
        <w:t>Backend completo (Python 3.12, FastAPI): main.py, config.py y módulos en modules/.</w:t>
      </w:r>
    </w:p>
    <w:p>
      <w:pPr>
        <w:pStyle w:val="Prrafodelista"/>
      </w:pPr>
      <w:r>
        <w:t>Frontend (Next.js 16.2, React 19): en frontend/src/.</w:t>
      </w:r>
    </w:p>
    <w:p>
      <w:pPr>
        <w:pStyle w:val="Prrafodelista"/>
      </w:pPr>
      <w:r>
        <w:t>Módulo de evaluación: en evaluation/, incluyendo el conjunto de datos etiquetado (conjunto(s) de datos.jsonl), las carteras de referencia (portfolios.json), las métricas (metrics.py) y el ejecutor del estudio de ablación (run_ablation.py).</w:t>
      </w:r>
    </w:p>
    <w:p>
      <w:pPr>
        <w:pStyle w:val="Prrafodelista"/>
      </w:pPr>
      <w:r>
        <w:t>Pruebas automatizadas: 137 pruebas unitarias en tests/.</w:t>
      </w:r>
    </w:p>
    <w:p>
      <w:pPr>
        <w:pStyle w:val="Prrafodelista"/>
      </w:pPr>
      <w:r>
        <w:t>Configuración de despliegue: Dockerfile, docker-compose.yml.</w:t>
      </w:r>
    </w:p>
    <w:p>
      <w:pPr>
        <w:pStyle w:val="Prrafodelista"/>
      </w:pPr>
      <w:r>
        <w:t>Documentación técnica: README.md, NOTAS_TECNICAS.md, HERRAMIENTAS_OPEN_SOURCE.md.</w:t>
      </w:r>
    </w:p>
    <w:p/>
    <w:p>
      <w:pPr/>
      <w:r>
        <w:t>Los datos utilizados para la evaluación (conjunto de datos etiquetado de 40 noticias) también se encuentran disponibles en el directorio evaluation/ del repositorio.</w:t>
      </w:r>
    </w:p>
    <w:sectPr w:rsidR="00196EF2" w:rsidSect="00352D2E">
      <w:headerReference w:type="default" r:id="rId12"/>
      <w:footerReference w:type="default" r:id="rId13"/>
      <w:pgSz w:w="11906" w:h="16838"/>
      <w:pgMar w:top="1418" w:right="1134" w:bottom="1418" w:left="1701" w:header="709" w:footer="709" w:gutter="0"/>
      <w:pgNumType w:fmt="upperRoman"/>
      <w:cols w:space="708"/>
      <w:titlePg/>
      <w:docGrid w:linePitch="360"/>
    </w:sectPr>
    <w:sectPr w:rsidR="001834C3" w:rsidRPr="000D09A0" w:rsidSect="00352D2E">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D6D00" w14:textId="77777777" w:rsidR="00352D2E" w:rsidRDefault="00352D2E" w:rsidP="006403BD">
      <w:r>
        <w:separator/>
      </w:r>
    </w:p>
  </w:endnote>
  <w:endnote w:type="continuationSeparator" w:id="0">
    <w:p w14:paraId="533B632B" w14:textId="77777777" w:rsidR="00352D2E" w:rsidRDefault="00352D2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9B555" w14:textId="77777777" w:rsidR="00352D2E" w:rsidRDefault="00352D2E" w:rsidP="006403BD">
      <w:r>
        <w:separator/>
      </w:r>
    </w:p>
  </w:footnote>
  <w:footnote w:type="continuationSeparator" w:id="0">
    <w:p w14:paraId="633F53C0" w14:textId="77777777" w:rsidR="00352D2E" w:rsidRDefault="00352D2E" w:rsidP="006403BD">
      <w:r>
        <w:continuationSeparator/>
      </w:r>
    </w:p>
  </w:footnote>
  <w:footnote w:id="1">
    <w:p w14:paraId="03DBC5EA" w14:textId="77777777" w:rsidR="00C308C3" w:rsidRDefault="00C308C3" w:rsidP="00C308C3">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1F18C3"/>
    <w:multiLevelType w:val="multilevel"/>
    <w:tmpl w:val="B37C3B20"/>
    <w:numStyleLink w:val="VietasUNIR"/>
  </w:abstractNum>
  <w:abstractNum w:abstractNumId="2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8"/>
  </w:num>
  <w:num w:numId="2" w16cid:durableId="1251886130">
    <w:abstractNumId w:val="23"/>
  </w:num>
  <w:num w:numId="3" w16cid:durableId="1596016411">
    <w:abstractNumId w:val="11"/>
  </w:num>
  <w:num w:numId="4" w16cid:durableId="1561018935">
    <w:abstractNumId w:val="0"/>
  </w:num>
  <w:num w:numId="5" w16cid:durableId="1169096736">
    <w:abstractNumId w:val="4"/>
  </w:num>
  <w:num w:numId="6" w16cid:durableId="290479389">
    <w:abstractNumId w:val="13"/>
  </w:num>
  <w:num w:numId="7" w16cid:durableId="998194144">
    <w:abstractNumId w:val="12"/>
  </w:num>
  <w:num w:numId="8" w16cid:durableId="21059511">
    <w:abstractNumId w:val="9"/>
  </w:num>
  <w:num w:numId="9" w16cid:durableId="747843244">
    <w:abstractNumId w:val="19"/>
  </w:num>
  <w:num w:numId="10" w16cid:durableId="776297507">
    <w:abstractNumId w:val="16"/>
  </w:num>
  <w:num w:numId="11" w16cid:durableId="1406339807">
    <w:abstractNumId w:val="15"/>
  </w:num>
  <w:num w:numId="12" w16cid:durableId="1078792026">
    <w:abstractNumId w:val="7"/>
  </w:num>
  <w:num w:numId="13" w16cid:durableId="1648512269">
    <w:abstractNumId w:val="5"/>
  </w:num>
  <w:num w:numId="14" w16cid:durableId="1372072029">
    <w:abstractNumId w:val="10"/>
  </w:num>
  <w:num w:numId="15" w16cid:durableId="1569536944">
    <w:abstractNumId w:val="10"/>
    <w:lvlOverride w:ilvl="0">
      <w:startOverride w:val="1"/>
    </w:lvlOverride>
    <w:lvlOverride w:ilvl="1">
      <w:startOverride w:val="1"/>
    </w:lvlOverride>
    <w:lvlOverride w:ilvl="2">
      <w:startOverride w:val="1"/>
    </w:lvlOverride>
  </w:num>
  <w:num w:numId="16" w16cid:durableId="1560046017">
    <w:abstractNumId w:val="10"/>
  </w:num>
  <w:num w:numId="17" w16cid:durableId="1399480590">
    <w:abstractNumId w:val="24"/>
  </w:num>
  <w:num w:numId="18" w16cid:durableId="1793279753">
    <w:abstractNumId w:val="22"/>
  </w:num>
  <w:num w:numId="19" w16cid:durableId="1162426106">
    <w:abstractNumId w:val="26"/>
  </w:num>
  <w:num w:numId="20" w16cid:durableId="1092552639">
    <w:abstractNumId w:val="20"/>
  </w:num>
  <w:num w:numId="21" w16cid:durableId="1736735501">
    <w:abstractNumId w:val="3"/>
  </w:num>
  <w:num w:numId="22" w16cid:durableId="1006136419">
    <w:abstractNumId w:val="1"/>
  </w:num>
  <w:num w:numId="23" w16cid:durableId="507838896">
    <w:abstractNumId w:val="2"/>
  </w:num>
  <w:num w:numId="24" w16cid:durableId="1789814387">
    <w:abstractNumId w:val="14"/>
  </w:num>
  <w:num w:numId="25" w16cid:durableId="9647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2"/>
  </w:num>
  <w:num w:numId="27" w16cid:durableId="1600941942">
    <w:abstractNumId w:val="22"/>
  </w:num>
  <w:num w:numId="28" w16cid:durableId="13327563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2"/>
  </w:num>
  <w:num w:numId="30" w16cid:durableId="6958830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2"/>
  </w:num>
  <w:num w:numId="32" w16cid:durableId="1499610836">
    <w:abstractNumId w:val="22"/>
  </w:num>
  <w:num w:numId="33" w16cid:durableId="646975774">
    <w:abstractNumId w:val="22"/>
  </w:num>
  <w:num w:numId="34" w16cid:durableId="466044123">
    <w:abstractNumId w:val="22"/>
  </w:num>
  <w:num w:numId="35" w16cid:durableId="2029869925">
    <w:abstractNumId w:val="22"/>
  </w:num>
  <w:num w:numId="36" w16cid:durableId="183322633">
    <w:abstractNumId w:val="22"/>
  </w:num>
  <w:num w:numId="37" w16cid:durableId="466049441">
    <w:abstractNumId w:val="22"/>
  </w:num>
  <w:num w:numId="38" w16cid:durableId="1899365851">
    <w:abstractNumId w:val="25"/>
  </w:num>
  <w:num w:numId="39" w16cid:durableId="1099250510">
    <w:abstractNumId w:val="6"/>
  </w:num>
  <w:num w:numId="40" w16cid:durableId="1678731548">
    <w:abstractNumId w:val="18"/>
  </w:num>
  <w:num w:numId="41" w16cid:durableId="1778334430">
    <w:abstractNumId w:val="17"/>
  </w:num>
  <w:num w:numId="42" w16cid:durableId="15792871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D09A0"/>
    <w:rsid w:val="000D5E09"/>
    <w:rsid w:val="000E0CC7"/>
    <w:rsid w:val="000E4E28"/>
    <w:rsid w:val="001526D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0AC8"/>
    <w:rsid w:val="0020605D"/>
    <w:rsid w:val="00211EDC"/>
    <w:rsid w:val="00235CE3"/>
    <w:rsid w:val="00243A8B"/>
    <w:rsid w:val="00244EAD"/>
    <w:rsid w:val="0025047A"/>
    <w:rsid w:val="00252BBA"/>
    <w:rsid w:val="00266CBA"/>
    <w:rsid w:val="002904CE"/>
    <w:rsid w:val="002B3E99"/>
    <w:rsid w:val="002B40D3"/>
    <w:rsid w:val="002E27F6"/>
    <w:rsid w:val="002E7D6F"/>
    <w:rsid w:val="003233AB"/>
    <w:rsid w:val="00327D49"/>
    <w:rsid w:val="00336DDD"/>
    <w:rsid w:val="00336EA6"/>
    <w:rsid w:val="0034192C"/>
    <w:rsid w:val="00350B2E"/>
    <w:rsid w:val="00352D2E"/>
    <w:rsid w:val="0035422F"/>
    <w:rsid w:val="00354D98"/>
    <w:rsid w:val="00382E79"/>
    <w:rsid w:val="003A50C3"/>
    <w:rsid w:val="003B79CA"/>
    <w:rsid w:val="003D1A96"/>
    <w:rsid w:val="003F0CA1"/>
    <w:rsid w:val="003F152D"/>
    <w:rsid w:val="003F24BC"/>
    <w:rsid w:val="00423E85"/>
    <w:rsid w:val="00436FA0"/>
    <w:rsid w:val="00461979"/>
    <w:rsid w:val="0048445F"/>
    <w:rsid w:val="00486BD4"/>
    <w:rsid w:val="00490EAC"/>
    <w:rsid w:val="004B3999"/>
    <w:rsid w:val="004D3460"/>
    <w:rsid w:val="004D566D"/>
    <w:rsid w:val="00506743"/>
    <w:rsid w:val="00507BAD"/>
    <w:rsid w:val="00514164"/>
    <w:rsid w:val="00521A79"/>
    <w:rsid w:val="0053518B"/>
    <w:rsid w:val="00535F70"/>
    <w:rsid w:val="00556E52"/>
    <w:rsid w:val="00596B3C"/>
    <w:rsid w:val="005A1CF6"/>
    <w:rsid w:val="005A2B04"/>
    <w:rsid w:val="005B3AB6"/>
    <w:rsid w:val="005C420C"/>
    <w:rsid w:val="005C6919"/>
    <w:rsid w:val="005D4C0B"/>
    <w:rsid w:val="005D549B"/>
    <w:rsid w:val="005F110C"/>
    <w:rsid w:val="00602B2E"/>
    <w:rsid w:val="006056D2"/>
    <w:rsid w:val="006311F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0699"/>
    <w:rsid w:val="006F13B4"/>
    <w:rsid w:val="006F2CB9"/>
    <w:rsid w:val="006F4E2B"/>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56DFC"/>
    <w:rsid w:val="00863C43"/>
    <w:rsid w:val="00877054"/>
    <w:rsid w:val="00881DD5"/>
    <w:rsid w:val="00890959"/>
    <w:rsid w:val="008958B1"/>
    <w:rsid w:val="008A283D"/>
    <w:rsid w:val="008A30B1"/>
    <w:rsid w:val="008C16EB"/>
    <w:rsid w:val="008E0EE0"/>
    <w:rsid w:val="008E30AB"/>
    <w:rsid w:val="00914BA4"/>
    <w:rsid w:val="00920246"/>
    <w:rsid w:val="00920B7C"/>
    <w:rsid w:val="0093412F"/>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35437"/>
    <w:rsid w:val="00A365F1"/>
    <w:rsid w:val="00A416DD"/>
    <w:rsid w:val="00A725E6"/>
    <w:rsid w:val="00A75783"/>
    <w:rsid w:val="00A83514"/>
    <w:rsid w:val="00A976F0"/>
    <w:rsid w:val="00AC1FF0"/>
    <w:rsid w:val="00AC5C54"/>
    <w:rsid w:val="00AD266A"/>
    <w:rsid w:val="00B026E1"/>
    <w:rsid w:val="00B04626"/>
    <w:rsid w:val="00B077AF"/>
    <w:rsid w:val="00B10175"/>
    <w:rsid w:val="00B34BF5"/>
    <w:rsid w:val="00B448AD"/>
    <w:rsid w:val="00B51192"/>
    <w:rsid w:val="00B519F0"/>
    <w:rsid w:val="00B52802"/>
    <w:rsid w:val="00B56FB6"/>
    <w:rsid w:val="00B60548"/>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E2B01"/>
    <w:rsid w:val="00CF01CC"/>
    <w:rsid w:val="00CF26A8"/>
    <w:rsid w:val="00CF4B5E"/>
    <w:rsid w:val="00D04008"/>
    <w:rsid w:val="00D34BAD"/>
    <w:rsid w:val="00D355ED"/>
    <w:rsid w:val="00D358D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5354"/>
    <w:rsid w:val="00FA0670"/>
    <w:rsid w:val="00FA21E3"/>
    <w:rsid w:val="00FA4A4E"/>
    <w:rsid w:val="00FA7395"/>
    <w:rsid w:val="00FA7727"/>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B3A822E2-E694-47D5-9E22-DA4B12671ABB}"/>
</file>

<file path=customXml/itemProps3.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21</Pages>
  <Words>3115</Words>
  <Characters>17137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20212</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almudena ruiz-iniesta</cp:lastModifiedBy>
  <cp:revision>43</cp:revision>
  <cp:lastPrinted>2019-08-05T13:11:00Z</cp:lastPrinted>
  <dcterms:created xsi:type="dcterms:W3CDTF">2024-02-08T08:42:00Z</dcterms:created>
  <dcterms:modified xsi:type="dcterms:W3CDTF">2024-03-06T11:16:00Z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